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6B" w:rsidRPr="00687F57" w:rsidRDefault="0002236B" w:rsidP="003D2D62">
      <w:pPr>
        <w:spacing w:line="360" w:lineRule="auto"/>
        <w:jc w:val="center"/>
        <w:rPr>
          <w:rFonts w:asciiTheme="minorHAnsi" w:hAnsiTheme="minorHAnsi" w:cstheme="minorHAnsi"/>
          <w:b/>
        </w:rPr>
      </w:pPr>
      <w:r w:rsidRPr="00687F57">
        <w:rPr>
          <w:rFonts w:asciiTheme="minorHAnsi" w:hAnsiTheme="minorHAnsi" w:cstheme="minorHAnsi"/>
          <w:b/>
        </w:rPr>
        <w:t xml:space="preserve">ΑΙΤΙΟΛΟΓΙΚΗ ΕΚΘΕΣΗ </w:t>
      </w:r>
    </w:p>
    <w:p w:rsidR="0002236B" w:rsidRPr="00687F57" w:rsidRDefault="0002236B" w:rsidP="003D2D62">
      <w:pPr>
        <w:spacing w:line="360" w:lineRule="auto"/>
        <w:jc w:val="center"/>
        <w:rPr>
          <w:rFonts w:asciiTheme="minorHAnsi" w:hAnsiTheme="minorHAnsi" w:cstheme="minorHAnsi"/>
          <w:b/>
        </w:rPr>
      </w:pPr>
      <w:r w:rsidRPr="00687F57">
        <w:rPr>
          <w:rFonts w:asciiTheme="minorHAnsi" w:hAnsiTheme="minorHAnsi" w:cstheme="minorHAnsi"/>
          <w:b/>
        </w:rPr>
        <w:t xml:space="preserve">ΣΤΟ ΣΧΕΔΙΟ ΝΟΜΟΥ </w:t>
      </w:r>
    </w:p>
    <w:p w:rsidR="0002236B" w:rsidRPr="00687F57" w:rsidRDefault="0002236B" w:rsidP="003D2D62">
      <w:pPr>
        <w:spacing w:line="360" w:lineRule="auto"/>
        <w:jc w:val="center"/>
        <w:rPr>
          <w:rFonts w:asciiTheme="minorHAnsi" w:hAnsiTheme="minorHAnsi" w:cstheme="minorHAnsi"/>
          <w:b/>
        </w:rPr>
      </w:pPr>
      <w:r w:rsidRPr="00687F57">
        <w:rPr>
          <w:rFonts w:asciiTheme="minorHAnsi" w:hAnsiTheme="minorHAnsi" w:cstheme="minorHAnsi"/>
          <w:b/>
        </w:rPr>
        <w:t xml:space="preserve">ΤΟΥ ΥΠΟΥΡΓΕΙΟΥ ΑΓΡΟΤΙΚΗΣ ΑΝΑΠΤΥΞΗΣ ΚΑΙ ΤΡΟΦΙΜΩΝ </w:t>
      </w:r>
    </w:p>
    <w:p w:rsidR="0002236B" w:rsidRPr="00687F57" w:rsidRDefault="0002236B" w:rsidP="00B33D1A">
      <w:pPr>
        <w:spacing w:line="360" w:lineRule="auto"/>
        <w:jc w:val="center"/>
        <w:rPr>
          <w:rFonts w:asciiTheme="minorHAnsi" w:hAnsiTheme="minorHAnsi" w:cstheme="minorHAnsi"/>
          <w:b/>
        </w:rPr>
      </w:pPr>
    </w:p>
    <w:p w:rsidR="0002236B" w:rsidRPr="00687F57" w:rsidRDefault="0002236B" w:rsidP="00B33D1A">
      <w:pPr>
        <w:spacing w:line="360" w:lineRule="auto"/>
        <w:jc w:val="center"/>
        <w:rPr>
          <w:rFonts w:asciiTheme="minorHAnsi" w:hAnsiTheme="minorHAnsi" w:cstheme="minorHAnsi"/>
          <w:b/>
        </w:rPr>
      </w:pPr>
      <w:r w:rsidRPr="00687F57">
        <w:rPr>
          <w:rFonts w:asciiTheme="minorHAnsi" w:hAnsiTheme="minorHAnsi" w:cstheme="minorHAnsi"/>
          <w:b/>
        </w:rPr>
        <w:t>«Ρυθμίσεις αρμοδιότητας του Υπουργείου Αγροτικής Ανάπτυξης και Τροφίμων για την αναβάθμιση και τον εκσυγχρονισμό του αγροτικού τομέα»</w:t>
      </w:r>
    </w:p>
    <w:p w:rsidR="0002236B" w:rsidRPr="00687F57" w:rsidRDefault="0002236B" w:rsidP="003D2D62">
      <w:pPr>
        <w:spacing w:line="360" w:lineRule="auto"/>
        <w:jc w:val="center"/>
        <w:rPr>
          <w:rFonts w:asciiTheme="minorHAnsi" w:hAnsiTheme="minorHAnsi" w:cstheme="minorHAnsi"/>
          <w:b/>
        </w:rPr>
      </w:pPr>
    </w:p>
    <w:p w:rsidR="0002236B" w:rsidRPr="00687F57" w:rsidRDefault="0002236B" w:rsidP="00A5289E">
      <w:pPr>
        <w:spacing w:line="360" w:lineRule="auto"/>
        <w:rPr>
          <w:rFonts w:asciiTheme="minorHAnsi" w:hAnsiTheme="minorHAnsi" w:cstheme="minorHAnsi"/>
          <w:b/>
        </w:rPr>
      </w:pPr>
    </w:p>
    <w:p w:rsidR="0002236B" w:rsidRPr="00687F57" w:rsidRDefault="0002236B" w:rsidP="00A5289E">
      <w:pPr>
        <w:spacing w:line="360" w:lineRule="auto"/>
        <w:rPr>
          <w:rFonts w:asciiTheme="minorHAnsi" w:hAnsiTheme="minorHAnsi" w:cstheme="minorHAnsi"/>
          <w:b/>
        </w:rPr>
      </w:pPr>
      <w:r w:rsidRPr="00687F57">
        <w:rPr>
          <w:rFonts w:asciiTheme="minorHAnsi" w:hAnsiTheme="minorHAnsi" w:cstheme="minorHAnsi"/>
          <w:b/>
        </w:rPr>
        <w:t>ΓΕΝΙΚΟ ΜΕΡΟΣ</w:t>
      </w:r>
    </w:p>
    <w:p w:rsidR="0002236B" w:rsidRPr="00687F57" w:rsidRDefault="0002236B" w:rsidP="00A5289E">
      <w:pPr>
        <w:spacing w:line="360" w:lineRule="auto"/>
        <w:rPr>
          <w:rFonts w:asciiTheme="minorHAnsi" w:hAnsiTheme="minorHAnsi" w:cstheme="minorHAnsi"/>
          <w:b/>
        </w:rPr>
      </w:pPr>
    </w:p>
    <w:p w:rsidR="0002236B" w:rsidRPr="00687F57" w:rsidRDefault="0002236B" w:rsidP="001E0C0F">
      <w:pPr>
        <w:spacing w:line="360" w:lineRule="auto"/>
        <w:jc w:val="both"/>
        <w:rPr>
          <w:rFonts w:asciiTheme="minorHAnsi" w:hAnsiTheme="minorHAnsi" w:cstheme="minorHAnsi"/>
        </w:rPr>
      </w:pPr>
      <w:r w:rsidRPr="00687F57">
        <w:rPr>
          <w:rFonts w:asciiTheme="minorHAnsi" w:hAnsiTheme="minorHAnsi" w:cstheme="minorHAnsi"/>
        </w:rPr>
        <w:t>Με τις διατάξεις του προτεινόμενου σχεδίου νόμου επιχειρείται η συνολική διευθέτηση θεμάτων που αφορούν αρμοδιότητες του Υπουργείου Αγροτικής Ανάπτυξης και Τροφίμων (ΥΠΑΑΤ), τα οποία χρονίζουν χωρίς τις απαιτούμενες νομοθετικές ρυθμίσεις με άμεση συνέπεια την αδυναμία εφαρμογής των πολιτικών του Υπουργείου. Παράλληλα στο προτεινόμενο σχέδιο νόμου περιλαμβάνονται νέες καινοτόμες διατάξεις, όπως το μελισσοκομικό μητρώο και η ολοκληρωμένη ρύθμιση των θεμάτων του Δικτύου Γεωργικής Λογιστικής Πληροφόρησης, αλλά και σειρά διατάξεων που βελτιώνουν τις ισχύουσες ρυθμίσεις με σκοπό την απελευθέρωση της παραγωγικής διαδικασίας του αγροτικού τομέα από δυσλειτουργίες και διοικητικές αγκυλώσεις. Οι ρυθμίσεις που εισάγονται με το προτεινόμενο σχέδιο νόμου αφορούν πρακτικά όλους τους τομείς αρμοδιότητας του ΥΠΑΑΤ</w:t>
      </w:r>
      <w:r w:rsidR="00CF4FA2" w:rsidRPr="00687F57">
        <w:rPr>
          <w:rFonts w:asciiTheme="minorHAnsi" w:hAnsiTheme="minorHAnsi" w:cstheme="minorHAnsi"/>
        </w:rPr>
        <w:t>.</w:t>
      </w:r>
      <w:r w:rsidRPr="00687F57">
        <w:rPr>
          <w:rFonts w:asciiTheme="minorHAnsi" w:hAnsiTheme="minorHAnsi" w:cstheme="minorHAnsi"/>
        </w:rPr>
        <w:t xml:space="preserve"> </w:t>
      </w:r>
      <w:r w:rsidR="00C64E86" w:rsidRPr="00687F57">
        <w:rPr>
          <w:rFonts w:asciiTheme="minorHAnsi" w:hAnsiTheme="minorHAnsi" w:cstheme="minorHAnsi"/>
        </w:rPr>
        <w:t>Α</w:t>
      </w:r>
      <w:r w:rsidRPr="00687F57">
        <w:rPr>
          <w:rFonts w:asciiTheme="minorHAnsi" w:hAnsiTheme="minorHAnsi" w:cstheme="minorHAnsi"/>
        </w:rPr>
        <w:t>ναλυτικά περιλαμβάνονται ρυθμίσεις για την αλιεία και την ανάπτυξη των υδατοκαλλιεργειών, το πολλαπλασιαστικό υλικό, τα λιπάσματα, τις έγγειες βελτιώσεις αλλά και τις κτηνοτροφικές εγκαταστάσεις και τα κτηνιατρικά φάρμακα. Τέλος</w:t>
      </w:r>
      <w:r w:rsidR="00C64E86" w:rsidRPr="00687F57">
        <w:rPr>
          <w:rFonts w:asciiTheme="minorHAnsi" w:hAnsiTheme="minorHAnsi" w:cstheme="minorHAnsi"/>
        </w:rPr>
        <w:t>,</w:t>
      </w:r>
      <w:r w:rsidRPr="00687F57">
        <w:rPr>
          <w:rFonts w:asciiTheme="minorHAnsi" w:hAnsiTheme="minorHAnsi" w:cstheme="minorHAnsi"/>
        </w:rPr>
        <w:t xml:space="preserve"> περιλαμβάνονται ρυθμίσεις βελτίωσης επί του νομοθετικού και κανονιστικού πλαισίου λειτουργίας των εποπτευόμενων φορέων του ΥΠΑΑΤ, και ιδίως του  Οργανισμού Ελληνικών Γεωργικών Ασφαλίσεων (ΕΛ.Γ.Α.) με σκοπό την ενίσχυση του έργου και του ρόλου του οργανισμού. Συνολικά με το προτεινόμενο σχέδιο νόμου επιδιώκεται η νομοθετική κάλυψη κενών και αστοχιών με στόχο τον εκσυγχρονισμό και την ανάδειξη της γεωργίας, της αλιείας και της κτηνοτροφίας, ως βασικών πυλώνων για την οικονομική ανάπτυξη της υπαίθρου και την αύξηση του ποσοστού συμμετοχής της αγροτικής παραγωγής στο Ακαθάριστο Εθνικό Προϊόν.</w:t>
      </w: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lastRenderedPageBreak/>
        <w:t>Τέλος, ως προς τα νομοτεχνικά θέματα, σημειώνεται ότι όπου στις διατάξεις του προτεινόμενου σχεδίου νόμου γίνεται παραπομπή σε διατάξεις άλλου νόμου ή κανονιστικής πράξης, πρόκειται για γνήσια παραπομπή, δηλαδή η παραπομπή γίνεται στις διατάξεις αυτές</w:t>
      </w:r>
      <w:r w:rsidR="00C64E86" w:rsidRPr="00687F57">
        <w:rPr>
          <w:rFonts w:asciiTheme="minorHAnsi" w:hAnsiTheme="minorHAnsi" w:cstheme="minorHAnsi"/>
        </w:rPr>
        <w:t>,</w:t>
      </w:r>
      <w:r w:rsidRPr="00687F57">
        <w:rPr>
          <w:rFonts w:asciiTheme="minorHAnsi" w:hAnsiTheme="minorHAnsi" w:cstheme="minorHAnsi"/>
        </w:rPr>
        <w:t xml:space="preserve"> όπως κάθε φορά αυτές ισχύουν. </w:t>
      </w:r>
    </w:p>
    <w:p w:rsidR="0002236B" w:rsidRPr="00687F57" w:rsidRDefault="0002236B" w:rsidP="004B0C58">
      <w:pPr>
        <w:spacing w:line="360" w:lineRule="auto"/>
        <w:jc w:val="both"/>
        <w:rPr>
          <w:rFonts w:asciiTheme="minorHAnsi" w:hAnsiTheme="minorHAnsi" w:cstheme="minorHAnsi"/>
        </w:rPr>
      </w:pP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t>Τα κεφάλαια του προτεινόμενου σχεδίου νόμου είναι τα εξής:</w:t>
      </w: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t>Κεφάλαιο Α΄:</w:t>
      </w:r>
      <w:r w:rsidRPr="00687F57">
        <w:rPr>
          <w:rFonts w:asciiTheme="minorHAnsi" w:hAnsiTheme="minorHAnsi" w:cstheme="minorHAnsi"/>
        </w:rPr>
        <w:tab/>
        <w:t xml:space="preserve"> Ρυθμίσεις θεμάτων αγροτικής ανάπτυξης</w:t>
      </w: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t>Κεφάλαιο Β΄:    Ρυθμίσεις θεμάτων γεωργίας – κτηνοτροφίας</w:t>
      </w: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t>Κεφάλαιο Γ΄:    Ρυθμίσεις θεμάτων αλιείας – υδατοκαλλιεργειών</w:t>
      </w: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t>Κεφάλαιο Δ΄:    Ρυθμίσεις κτηνιατρικών θεμάτων</w:t>
      </w: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t>Κεφάλαιο Ε΄:    Ρυθμίσεις θεμάτων εποπτευόμενων φορέων</w:t>
      </w:r>
    </w:p>
    <w:p w:rsidR="0002236B" w:rsidRPr="00687F57" w:rsidRDefault="0002236B" w:rsidP="004B0C58">
      <w:pPr>
        <w:spacing w:line="360" w:lineRule="auto"/>
        <w:jc w:val="both"/>
        <w:rPr>
          <w:rFonts w:asciiTheme="minorHAnsi" w:hAnsiTheme="minorHAnsi" w:cstheme="minorHAnsi"/>
        </w:rPr>
      </w:pPr>
      <w:r w:rsidRPr="00687F57">
        <w:rPr>
          <w:rFonts w:asciiTheme="minorHAnsi" w:hAnsiTheme="minorHAnsi" w:cstheme="minorHAnsi"/>
        </w:rPr>
        <w:t xml:space="preserve">Κεφάλαιο ΣΤ΄:   Οικονομικές και λοιπές ρυθμίσεις </w:t>
      </w:r>
    </w:p>
    <w:p w:rsidR="0002236B" w:rsidRPr="00687F57" w:rsidRDefault="0002236B" w:rsidP="004B0C58">
      <w:pPr>
        <w:spacing w:line="360" w:lineRule="auto"/>
        <w:jc w:val="both"/>
        <w:rPr>
          <w:rFonts w:asciiTheme="minorHAnsi" w:hAnsiTheme="minorHAnsi" w:cstheme="minorHAnsi"/>
        </w:rPr>
      </w:pPr>
    </w:p>
    <w:p w:rsidR="0002236B" w:rsidRPr="00687F57" w:rsidRDefault="0002236B" w:rsidP="00A5289E">
      <w:pPr>
        <w:spacing w:line="360" w:lineRule="auto"/>
        <w:ind w:firstLine="720"/>
        <w:rPr>
          <w:rFonts w:asciiTheme="minorHAnsi" w:hAnsiTheme="minorHAnsi" w:cstheme="minorHAnsi"/>
          <w:b/>
        </w:rPr>
      </w:pPr>
    </w:p>
    <w:p w:rsidR="0002236B" w:rsidRPr="00687F57" w:rsidRDefault="0002236B" w:rsidP="00A5289E">
      <w:pPr>
        <w:spacing w:line="360" w:lineRule="auto"/>
        <w:ind w:firstLine="720"/>
        <w:rPr>
          <w:rFonts w:asciiTheme="minorHAnsi" w:hAnsiTheme="minorHAnsi" w:cstheme="minorHAnsi"/>
          <w:b/>
        </w:rPr>
      </w:pPr>
      <w:r w:rsidRPr="00687F57">
        <w:rPr>
          <w:rFonts w:asciiTheme="minorHAnsi" w:hAnsiTheme="minorHAnsi" w:cstheme="minorHAnsi"/>
          <w:b/>
        </w:rPr>
        <w:t>Επί των κεφαλαίων και άρθρων του σχεδίου νόμου:</w:t>
      </w:r>
    </w:p>
    <w:p w:rsidR="0002236B" w:rsidRPr="00687F57" w:rsidRDefault="0002236B" w:rsidP="00D20269">
      <w:pPr>
        <w:spacing w:line="360" w:lineRule="auto"/>
        <w:rPr>
          <w:rFonts w:asciiTheme="minorHAnsi" w:hAnsiTheme="minorHAnsi" w:cstheme="minorHAnsi"/>
          <w:b/>
        </w:rPr>
      </w:pPr>
    </w:p>
    <w:p w:rsidR="0002236B" w:rsidRPr="00687F57" w:rsidRDefault="0002236B" w:rsidP="00D20269">
      <w:pPr>
        <w:spacing w:line="360" w:lineRule="auto"/>
        <w:rPr>
          <w:rFonts w:asciiTheme="minorHAnsi" w:hAnsiTheme="minorHAnsi" w:cstheme="minorHAnsi"/>
          <w:b/>
        </w:rPr>
      </w:pPr>
      <w:r w:rsidRPr="00687F57">
        <w:rPr>
          <w:rFonts w:asciiTheme="minorHAnsi" w:hAnsiTheme="minorHAnsi" w:cstheme="minorHAnsi"/>
          <w:b/>
        </w:rPr>
        <w:t>ΚΕΦΑΛΑΙΟ Α΄:</w:t>
      </w:r>
    </w:p>
    <w:p w:rsidR="0002236B" w:rsidRPr="00687F57" w:rsidRDefault="0002236B" w:rsidP="00D20269">
      <w:pPr>
        <w:spacing w:line="360" w:lineRule="auto"/>
        <w:rPr>
          <w:rFonts w:asciiTheme="minorHAnsi" w:hAnsiTheme="minorHAnsi" w:cstheme="minorHAnsi"/>
          <w:b/>
        </w:rPr>
      </w:pPr>
      <w:r w:rsidRPr="00687F57">
        <w:rPr>
          <w:rFonts w:asciiTheme="minorHAnsi" w:hAnsiTheme="minorHAnsi" w:cstheme="minorHAnsi"/>
          <w:b/>
        </w:rPr>
        <w:t>ΡΥΘΜΙΣΕΙΣ ΘΕΜΑΤΩΝ ΑΓΡΟΤΙΚΗΣ ΑΝΑΠΤΥΞΗΣ</w:t>
      </w:r>
    </w:p>
    <w:p w:rsidR="0002236B" w:rsidRPr="00687F57" w:rsidRDefault="0002236B" w:rsidP="00D20269">
      <w:pPr>
        <w:spacing w:line="360" w:lineRule="auto"/>
        <w:rPr>
          <w:rFonts w:asciiTheme="minorHAnsi" w:hAnsiTheme="minorHAnsi" w:cstheme="minorHAnsi"/>
          <w:b/>
        </w:rPr>
      </w:pPr>
    </w:p>
    <w:p w:rsidR="0002236B" w:rsidRPr="00687F57" w:rsidRDefault="0002236B" w:rsidP="001A0A64">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p>
    <w:p w:rsidR="0002236B" w:rsidRPr="00687F57" w:rsidRDefault="0002236B" w:rsidP="00687F57">
      <w:pPr>
        <w:spacing w:line="360" w:lineRule="auto"/>
        <w:outlineLvl w:val="0"/>
        <w:rPr>
          <w:rFonts w:asciiTheme="minorHAnsi" w:hAnsiTheme="minorHAnsi" w:cstheme="minorHAnsi"/>
          <w:b/>
          <w:bCs/>
          <w:lang w:val="en-GB"/>
        </w:rPr>
      </w:pPr>
      <w:r w:rsidRPr="00687F57">
        <w:rPr>
          <w:rFonts w:asciiTheme="minorHAnsi" w:hAnsiTheme="minorHAnsi" w:cstheme="minorHAnsi"/>
          <w:b/>
          <w:bCs/>
        </w:rPr>
        <w:t>Εθνική Επιτροπή Δικτύου Γεωργικής Λογιστικής Πληροφόρησης</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 xml:space="preserve">Η προτεινόμενη διάταξη κρίνεται αναγκαία για την ολοκληρωμένη ρύθμιση θεμάτων που αφορούν το Δίκτυο Γεωργικής Λογιστικής Πληροφόρησης (ελλ. ΔΙΓΕΛΠ, αγγλ. </w:t>
      </w:r>
      <w:r w:rsidRPr="00687F57">
        <w:rPr>
          <w:rFonts w:asciiTheme="minorHAnsi" w:hAnsiTheme="minorHAnsi" w:cstheme="minorHAnsi"/>
          <w:lang w:val="en-US"/>
        </w:rPr>
        <w:t>FADN</w:t>
      </w:r>
      <w:r w:rsidRPr="00687F57">
        <w:rPr>
          <w:rFonts w:asciiTheme="minorHAnsi" w:hAnsiTheme="minorHAnsi" w:cstheme="minorHAnsi"/>
        </w:rPr>
        <w:t xml:space="preserve">, γαλλ. </w:t>
      </w:r>
      <w:r w:rsidRPr="00687F57">
        <w:rPr>
          <w:rFonts w:asciiTheme="minorHAnsi" w:hAnsiTheme="minorHAnsi" w:cstheme="minorHAnsi"/>
          <w:lang w:val="en-US"/>
        </w:rPr>
        <w:t>RICA</w:t>
      </w:r>
      <w:r w:rsidRPr="00687F57">
        <w:rPr>
          <w:rFonts w:asciiTheme="minorHAnsi" w:hAnsiTheme="minorHAnsi" w:cstheme="minorHAnsi"/>
        </w:rPr>
        <w:t xml:space="preserve">), το οποίο λειτουργεί από το 1981 για λογαριασμό της Ευρωπαϊκής Επιτροπής σε ετήσια βάση ταυτόχρονα σε όλα τα κράτη-μέλη της ΕΕ και διέπεται από τον κανονισμό (ΕΚ) αριθ. 1217/2009 του Συμβουλίου (ΕΕ </w:t>
      </w:r>
      <w:r w:rsidRPr="00687F57">
        <w:rPr>
          <w:rFonts w:asciiTheme="minorHAnsi" w:hAnsiTheme="minorHAnsi" w:cstheme="minorHAnsi"/>
          <w:lang w:val="en-US"/>
        </w:rPr>
        <w:t>L</w:t>
      </w:r>
      <w:r w:rsidRPr="00687F57">
        <w:rPr>
          <w:rFonts w:asciiTheme="minorHAnsi" w:hAnsiTheme="minorHAnsi" w:cstheme="minorHAnsi"/>
        </w:rPr>
        <w:t xml:space="preserve"> 328, 15.12.2009, σ. 27). Αφορά στην ετήσια δειγματοληψία, με συγκεκριμένη μεθοδολογία, λογιστικών δεδομένων εισροών-εκροών από γεωργικές εκμεταλλεύσεις της ΕΕ. Τα δεδομένα που συγκεντρώνονται αξιοποιούνται στην εκτίμηση των επιδράσεων των μέτρων της Κοινής Αγροτικής Πολιτικής. </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 xml:space="preserve">Ειδικότερα, με την προτεινόμενη διάταξη, με την οποία αντικαθίσταται η παρ. 1 του άρθρου 42 του ν. 4384/2016 (Α΄78): </w:t>
      </w:r>
    </w:p>
    <w:p w:rsidR="0002236B" w:rsidRPr="00687F57" w:rsidRDefault="0002236B" w:rsidP="001A0A64">
      <w:pPr>
        <w:spacing w:line="360" w:lineRule="auto"/>
        <w:jc w:val="both"/>
        <w:rPr>
          <w:rFonts w:asciiTheme="minorHAnsi" w:hAnsiTheme="minorHAnsi" w:cstheme="minorHAnsi"/>
          <w:bCs/>
        </w:rPr>
      </w:pPr>
      <w:r w:rsidRPr="00687F57">
        <w:rPr>
          <w:rFonts w:asciiTheme="minorHAnsi" w:hAnsiTheme="minorHAnsi" w:cstheme="minorHAnsi"/>
        </w:rPr>
        <w:lastRenderedPageBreak/>
        <w:t>α) Συνιστάται στο Υπουργείο Αγροτικής Ανάπτυξης και Τροφίμων η προβλεπόμενη από το άρθρο 5α του κανονισμού (ΕΚ) αριθ. 1217/2009 «Εθνική Επιτροπή Δικτύου Γεωργικής Λογιστικής Πληροφόρησης». Με απόφαση του Υπουργού Αγροτικής Ανάπτυξης και Τροφίμων καθορίζ</w:t>
      </w:r>
      <w:r w:rsidR="00C64E86" w:rsidRPr="00687F57">
        <w:rPr>
          <w:rFonts w:asciiTheme="minorHAnsi" w:hAnsiTheme="minorHAnsi" w:cstheme="minorHAnsi"/>
        </w:rPr>
        <w:t>ον</w:t>
      </w:r>
      <w:r w:rsidRPr="00687F57">
        <w:rPr>
          <w:rFonts w:asciiTheme="minorHAnsi" w:hAnsiTheme="minorHAnsi" w:cstheme="minorHAnsi"/>
        </w:rPr>
        <w:t>ται η συγκρότηση, η θητεία και κάθε ειδικότερο ζήτημα σχετικ</w:t>
      </w:r>
      <w:r w:rsidR="00C64E86" w:rsidRPr="00687F57">
        <w:rPr>
          <w:rFonts w:asciiTheme="minorHAnsi" w:hAnsiTheme="minorHAnsi" w:cstheme="minorHAnsi"/>
        </w:rPr>
        <w:t>ά</w:t>
      </w:r>
      <w:r w:rsidRPr="00687F57">
        <w:rPr>
          <w:rFonts w:asciiTheme="minorHAnsi" w:hAnsiTheme="minorHAnsi" w:cstheme="minorHAnsi"/>
        </w:rPr>
        <w:t xml:space="preserve"> με τον τρόπο λειτουργίας της ανωτέρω Επιτροπής.</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 xml:space="preserve">β) Το Τμήμα Δικτύου Γεωργικής Λογιστικής Πληροφόρησης της Διεύθυνσης Αγροτικής Πολιτικής, Τεκμηρίωσης και Διεθνών Σχέσεων του ΥΠΑΑΤ ορίζεται ως: </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αα) Η αρμόδια αρχή για τη συγκέντρωση και τη διασταύρωση όλων των δεδομένων που απαιτούνται για την εκτίμηση των τυπικών αποδόσεων (standard output) φυτικής και ζωικής παραγωγής, την εκτίμηση και διαβίβαση των τυπικών αποδόσεων στην Ευρωπαϊκή Επιτροπή και στη Eurostat και την υλοποίηση της τυπολογίας των γεωργικών εκμεταλλεύσεων (άρθρο 5β του κανονισμού (ΕΚ) αριθ. 1217/2009). Η τυπική απόδοση είναι το κριτήριο ταξινόμησης των γεωργικών εκμεταλλεύσεων σε επίπεδο ΕΕ.</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 xml:space="preserve"> ββ) Το όργανο-σύνδεσμος της παρ. 1 του άρθρου 7 του κανονισμού (ΕΚ) αριθ. 1217/2009.</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 xml:space="preserve">Περαιτέρω, με την προτεινόμενη διάταξη δίδονται οι νομοθετικές εξουσιοδοτήσεις που απαιτούνται για την έκδοση κανονιστικών πράξεων που είναι αναγκαίες για τη λειτουργία του ΔΙΓΕΛΠ σε εθνικό επίπεδο. Οι κανονιστικές αυτές πράξεις έχουν ως εξής: </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 xml:space="preserve">α) Απόφαση του Υπουργού Αγροτικής Ανάπτυξης και Τροφίμων για τον καθορισμό του σχεδίου κατανομής των γεωργικών εκμεταλλεύσεων στο εσωτερικό της χώρας, των αρμοδίων αρχών, της διαδικασίας </w:t>
      </w:r>
      <w:r w:rsidRPr="00687F57">
        <w:rPr>
          <w:rFonts w:asciiTheme="minorHAnsi" w:hAnsiTheme="minorHAnsi" w:cstheme="minorHAnsi"/>
          <w:bCs/>
        </w:rPr>
        <w:t xml:space="preserve">και των λεπτομερειών εφαρμογής </w:t>
      </w:r>
      <w:r w:rsidRPr="00687F57">
        <w:rPr>
          <w:rFonts w:asciiTheme="minorHAnsi" w:hAnsiTheme="minorHAnsi" w:cstheme="minorHAnsi"/>
        </w:rPr>
        <w:t xml:space="preserve">για τη λειτουργία του ΔΙΓΕΛΠ. </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β) Απόφαση του Υπουργού Αγροτικής Ανάπτυξης και Τροφίμων για την οριστικοποίηση της κατανομής των γεωργικών εκμεταλλεύσεων του προαναφερθέντος σχεδίου κατανομής και τον καθορισμό του ύψους της κατ’ έτος κατ’ αποκοπή αμοιβής των γεωργών (κατά την έννοια του άρθρου 2 του κανονισμού (ΕΚ) αριθ. 1217/2009)  που παρέχουν στοιχεία στο ΔΙΓΕΛΠ.</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γ) Απόφαση του Υπουργού Αγροτικής Ανάπτυξης και Τροφίμων για τον καθορισμό των αρμοδίων αρχών, της διαδικασίας,</w:t>
      </w:r>
      <w:r w:rsidRPr="00687F57">
        <w:rPr>
          <w:rFonts w:asciiTheme="minorHAnsi" w:hAnsiTheme="minorHAnsi" w:cstheme="minorHAnsi"/>
          <w:bCs/>
        </w:rPr>
        <w:t xml:space="preserve"> των λεπτομερειών εφαρμογής</w:t>
      </w:r>
      <w:r w:rsidRPr="00687F57">
        <w:rPr>
          <w:rFonts w:asciiTheme="minorHAnsi" w:hAnsiTheme="minorHAnsi" w:cstheme="minorHAnsi"/>
        </w:rPr>
        <w:t xml:space="preserve"> και του ύψους της κατ’ έτος κατ’ αποκοπή αμοιβής για τη διενέργεια προσανατολισμένων </w:t>
      </w:r>
      <w:r w:rsidRPr="00687F57">
        <w:rPr>
          <w:rFonts w:asciiTheme="minorHAnsi" w:hAnsiTheme="minorHAnsi" w:cstheme="minorHAnsi"/>
        </w:rPr>
        <w:lastRenderedPageBreak/>
        <w:t>δειγματοληψιών σε εθνικό επίπεδο, για συγκεκριμένα γεωργικά προϊόντα ή/και σε γεωργικές εκμεταλλεύσεις με συγκεκριμένα χαρακτηριστικά, που διενεργούνται στα πρότυπα του ΔΙΓΕΛΠ. Οι προσανατολισμένες δειγματοληψίες είναι επικουρικές της δειγματοληψίας του ΔΙΓΕΛΠ και αφορούν στην εκτίμηση</w:t>
      </w:r>
      <w:r w:rsidRPr="00687F57">
        <w:rPr>
          <w:rFonts w:asciiTheme="minorHAnsi" w:hAnsiTheme="minorHAnsi" w:cstheme="minorHAnsi"/>
          <w:bCs/>
          <w:color w:val="000000"/>
        </w:rPr>
        <w:t xml:space="preserve"> ή/και τη </w:t>
      </w:r>
      <w:r w:rsidRPr="00687F57">
        <w:rPr>
          <w:rFonts w:asciiTheme="minorHAnsi" w:hAnsiTheme="minorHAnsi" w:cstheme="minorHAnsi"/>
        </w:rPr>
        <w:t>διερεύνηση των οικονομικών αποτελεσμάτων συγκεκριμένων γεωργικών προϊόντων ή γεωργικών εκμεταλλεύσεων με συγκεκριμένα χαρακτηριστικά.</w:t>
      </w:r>
    </w:p>
    <w:p w:rsidR="0002236B" w:rsidRPr="00687F57" w:rsidRDefault="0002236B" w:rsidP="001A0A64">
      <w:pPr>
        <w:spacing w:line="360" w:lineRule="auto"/>
        <w:jc w:val="both"/>
        <w:rPr>
          <w:rFonts w:asciiTheme="minorHAnsi" w:hAnsiTheme="minorHAnsi" w:cstheme="minorHAnsi"/>
          <w:bCs/>
        </w:rPr>
      </w:pPr>
      <w:r w:rsidRPr="00687F57">
        <w:rPr>
          <w:rFonts w:asciiTheme="minorHAnsi" w:hAnsiTheme="minorHAnsi" w:cstheme="minorHAnsi"/>
        </w:rPr>
        <w:t xml:space="preserve">δ) Απόφαση του Υπουργού Αγροτικής Ανάπτυξης και Τροφίμων για τον καθορισμό </w:t>
      </w:r>
      <w:r w:rsidRPr="00687F57">
        <w:rPr>
          <w:rFonts w:asciiTheme="minorHAnsi" w:hAnsiTheme="minorHAnsi" w:cstheme="minorHAnsi"/>
          <w:bCs/>
        </w:rPr>
        <w:t xml:space="preserve">των αρμοδίων αρχών, της διαδικασίας, των λεπτομερειών εφαρμογής και του ύψους της κατ’ έτος κατ’ αποκοπή αμοιβής στους </w:t>
      </w:r>
      <w:r w:rsidRPr="00687F57">
        <w:rPr>
          <w:rFonts w:asciiTheme="minorHAnsi" w:hAnsiTheme="minorHAnsi" w:cstheme="minorHAnsi"/>
        </w:rPr>
        <w:t xml:space="preserve">γεωργούς </w:t>
      </w:r>
      <w:r w:rsidRPr="00687F57">
        <w:rPr>
          <w:rFonts w:asciiTheme="minorHAnsi" w:hAnsiTheme="minorHAnsi" w:cstheme="minorHAnsi"/>
          <w:bCs/>
        </w:rPr>
        <w:t xml:space="preserve"> για την εκτίμηση των τυπικών αποδόσεων (standard output) φυτικής και ζωικής παραγωγής </w:t>
      </w:r>
      <w:r w:rsidRPr="00687F57">
        <w:rPr>
          <w:rFonts w:asciiTheme="minorHAnsi" w:hAnsiTheme="minorHAnsi" w:cstheme="minorHAnsi"/>
          <w:bCs/>
          <w:color w:val="000000"/>
        </w:rPr>
        <w:t xml:space="preserve">ή/και </w:t>
      </w:r>
      <w:r w:rsidRPr="00687F57">
        <w:rPr>
          <w:rFonts w:asciiTheme="minorHAnsi" w:hAnsiTheme="minorHAnsi" w:cstheme="minorHAnsi"/>
          <w:bCs/>
        </w:rPr>
        <w:t xml:space="preserve">την υλοποίηση της τυπολογίας γεωργικών εκμεταλλεύσεων. </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ε) Αποφάσεις του Υπουργού Αγροτικής Ανάπτυξης και Τροφίμων και του κατά περίπτωση συναρμόδιου Υπουργού, ανάλογα με την πηγή της χρηματοδότησης (πρόγραμμα δημοσίων επενδύσεων ή/και τακτικός προϋπολογισμός), για την έγκριση του ύψους της δαπάνης, τη διάθεση και την κατανομή των πιστώσεων, τη διαδικασία και τις λεπτομέρειες εφαρμογής που αφορούν στη χρηματοδότηση του ΔΙΓΕΛΠ, των προσανατολισμένων δειγματοληψιών, της εκτίμησης των τυπικών αποδόσεων φυτικής και ζωικής παραγωγής ή/και της υλοποίησης της τυπολογίας των γεωργικών εκμεταλλεύσεων, κατά περίπτωση.</w:t>
      </w:r>
    </w:p>
    <w:p w:rsidR="0002236B" w:rsidRPr="00687F57" w:rsidRDefault="0002236B" w:rsidP="00B02851">
      <w:pPr>
        <w:spacing w:line="360" w:lineRule="auto"/>
        <w:outlineLvl w:val="0"/>
        <w:rPr>
          <w:rFonts w:asciiTheme="minorHAnsi" w:hAnsiTheme="minorHAnsi" w:cstheme="minorHAnsi"/>
          <w:b/>
          <w:bCs/>
        </w:rPr>
      </w:pPr>
    </w:p>
    <w:p w:rsidR="0002236B" w:rsidRPr="00687F57" w:rsidRDefault="0002236B" w:rsidP="00B02851">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2</w:t>
      </w:r>
    </w:p>
    <w:p w:rsidR="0002236B" w:rsidRPr="00687F57" w:rsidRDefault="0002236B" w:rsidP="00687F57">
      <w:pPr>
        <w:spacing w:line="360" w:lineRule="auto"/>
        <w:rPr>
          <w:rFonts w:asciiTheme="minorHAnsi" w:hAnsiTheme="minorHAnsi" w:cstheme="minorHAnsi"/>
          <w:b/>
        </w:rPr>
      </w:pPr>
      <w:r w:rsidRPr="00687F57">
        <w:rPr>
          <w:rFonts w:asciiTheme="minorHAnsi" w:hAnsiTheme="minorHAnsi" w:cstheme="minorHAnsi"/>
          <w:b/>
        </w:rPr>
        <w:t>Έγγειες βελτιώσεις</w:t>
      </w:r>
      <w:r w:rsidRPr="00687F57">
        <w:rPr>
          <w:rFonts w:asciiTheme="minorHAnsi" w:hAnsiTheme="minorHAnsi" w:cstheme="minorHAnsi"/>
        </w:rPr>
        <w:tab/>
      </w:r>
    </w:p>
    <w:p w:rsidR="0002236B" w:rsidRPr="00687F57" w:rsidRDefault="0002236B" w:rsidP="001A0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rPr>
      </w:pPr>
      <w:r w:rsidRPr="00687F57">
        <w:rPr>
          <w:rFonts w:asciiTheme="minorHAnsi" w:hAnsiTheme="minorHAnsi" w:cstheme="minorHAnsi"/>
        </w:rPr>
        <w:t>Με την παρ. 1 του προτεινόμενου άρθρου τροποποιείται η περ. α΄ της παρ. 4 του άρθρου 2 του ν. 414/1976 με την προσθήκη εδαφίου, προκειμένου να περιγραφεί σαφώς ο τρόπος με τον οποίο και η Περιφέρεια δύναται να συμμετέχει στις δαπάνες των παραγράφων 1 και 2α, όπως η παράγραφος 2α προστέθηκε με την παρ. 6 του άρθρου 66 του ν. 4546/2018 (Α΄ 101).</w:t>
      </w:r>
    </w:p>
    <w:p w:rsidR="0002236B" w:rsidRPr="00687F57" w:rsidRDefault="0002236B" w:rsidP="001A0A64">
      <w:pPr>
        <w:spacing w:line="360" w:lineRule="auto"/>
        <w:jc w:val="both"/>
        <w:rPr>
          <w:rFonts w:asciiTheme="minorHAnsi" w:hAnsiTheme="minorHAnsi" w:cstheme="minorHAnsi"/>
        </w:rPr>
      </w:pPr>
      <w:r w:rsidRPr="00687F57">
        <w:rPr>
          <w:rFonts w:asciiTheme="minorHAnsi" w:hAnsiTheme="minorHAnsi" w:cstheme="minorHAnsi"/>
        </w:rPr>
        <w:t>Με την παρ. 2 αντικαθίσταται η περ. α΄ της παρ. 4 του άρθρου 46 του ν. 4456/2017 και καταργείται το τελευταίο εδάφιο της περίπτωσης αυτής, προκειμένου να αποσαφηνισθεί ότι κάθε θέμα σχετικό με τη μεταβίβαση εγγειοβελτιωτικών έργων του ΥΠΑΑΤ σε Δήμους ρυθμίζεται με σχετική απόφαση του Υπουργού Αγροτικής Ανάπτυξης και Τροφίμων.</w:t>
      </w:r>
    </w:p>
    <w:p w:rsidR="0002236B" w:rsidRPr="00687F57" w:rsidRDefault="0002236B" w:rsidP="001A0A64">
      <w:pPr>
        <w:spacing w:line="360" w:lineRule="auto"/>
        <w:jc w:val="both"/>
        <w:rPr>
          <w:rFonts w:asciiTheme="minorHAnsi" w:hAnsiTheme="minorHAnsi" w:cstheme="minorHAnsi"/>
          <w:strike/>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3</w:t>
      </w:r>
    </w:p>
    <w:p w:rsidR="0002236B" w:rsidRPr="00687F57" w:rsidRDefault="0002236B" w:rsidP="00687F57">
      <w:pPr>
        <w:spacing w:line="360" w:lineRule="auto"/>
        <w:rPr>
          <w:rFonts w:asciiTheme="minorHAnsi" w:hAnsiTheme="minorHAnsi" w:cstheme="minorHAnsi"/>
          <w:b/>
          <w:bCs/>
          <w:lang w:val="en-GB"/>
        </w:rPr>
      </w:pPr>
      <w:r w:rsidRPr="00687F57">
        <w:rPr>
          <w:rFonts w:asciiTheme="minorHAnsi" w:hAnsiTheme="minorHAnsi" w:cstheme="minorHAnsi"/>
          <w:b/>
          <w:bCs/>
        </w:rPr>
        <w:t>Τεχνική Γνωμοδοτική Επιτροπή Λιπασμάτων</w:t>
      </w:r>
    </w:p>
    <w:p w:rsidR="0002236B" w:rsidRPr="00687F57" w:rsidRDefault="0002236B" w:rsidP="001A0A64">
      <w:pPr>
        <w:spacing w:line="360" w:lineRule="auto"/>
        <w:jc w:val="both"/>
        <w:rPr>
          <w:rFonts w:asciiTheme="minorHAnsi" w:hAnsiTheme="minorHAnsi" w:cstheme="minorHAnsi"/>
          <w:color w:val="FF0000"/>
        </w:rPr>
      </w:pPr>
      <w:r w:rsidRPr="00687F57">
        <w:rPr>
          <w:rFonts w:asciiTheme="minorHAnsi" w:hAnsiTheme="minorHAnsi" w:cstheme="minorHAnsi"/>
        </w:rPr>
        <w:t>Με την παρ. 1 του προτεινόμενου άρθρου  αντικαθίσταται το στοιχείο εε΄ της υποπερ. α΄ της περ. Β΄ της παρ. 1 του άρθρου 3 του ν.</w:t>
      </w:r>
      <w:r w:rsidR="00655D1D" w:rsidRPr="00687F57">
        <w:rPr>
          <w:rFonts w:asciiTheme="minorHAnsi" w:hAnsiTheme="minorHAnsi" w:cstheme="minorHAnsi"/>
        </w:rPr>
        <w:t xml:space="preserve"> </w:t>
      </w:r>
      <w:r w:rsidRPr="00687F57">
        <w:rPr>
          <w:rFonts w:asciiTheme="minorHAnsi" w:hAnsiTheme="minorHAnsi" w:cstheme="minorHAnsi"/>
        </w:rPr>
        <w:t xml:space="preserve">1565/1985 (Α΄ 164), προκειμένου να ορισθεί ότι δεν υφίσταται υποχρέωση τήρησης των προϋποθέσεων των υπ’ </w:t>
      </w:r>
      <w:r w:rsidRPr="00687F57">
        <w:rPr>
          <w:rFonts w:asciiTheme="minorHAnsi" w:hAnsiTheme="minorHAnsi" w:cstheme="minorHAnsi"/>
          <w:color w:val="231F20"/>
        </w:rPr>
        <w:t xml:space="preserve">αρ. 80568/4225/22.3.1991 </w:t>
      </w:r>
      <w:r w:rsidRPr="00687F57">
        <w:rPr>
          <w:rFonts w:asciiTheme="minorHAnsi" w:hAnsiTheme="minorHAnsi" w:cstheme="minorHAnsi"/>
        </w:rPr>
        <w:t xml:space="preserve">(Β΄ 641) και </w:t>
      </w:r>
      <w:r w:rsidRPr="00687F57">
        <w:rPr>
          <w:rFonts w:asciiTheme="minorHAnsi" w:hAnsiTheme="minorHAnsi" w:cstheme="minorHAnsi"/>
          <w:color w:val="231F20"/>
        </w:rPr>
        <w:t xml:space="preserve">114218/31.10.1997 (Β΄ 1016) αποφάσεων </w:t>
      </w:r>
      <w:r w:rsidRPr="00687F57">
        <w:rPr>
          <w:rFonts w:asciiTheme="minorHAnsi" w:hAnsiTheme="minorHAnsi" w:cstheme="minorHAnsi"/>
        </w:rPr>
        <w:t xml:space="preserve">για τις </w:t>
      </w:r>
      <w:r w:rsidRPr="00687F57">
        <w:rPr>
          <w:rFonts w:asciiTheme="minorHAnsi" w:hAnsiTheme="minorHAnsi" w:cstheme="minorHAnsi"/>
          <w:color w:val="231F20"/>
        </w:rPr>
        <w:t>πρώτες ύλες των λιπασμάτων που</w:t>
      </w:r>
      <w:r w:rsidRPr="00687F57">
        <w:rPr>
          <w:rFonts w:asciiTheme="minorHAnsi" w:hAnsiTheme="minorHAnsi" w:cstheme="minorHAnsi"/>
        </w:rPr>
        <w:t xml:space="preserve"> περιέχουν αστικά ή βιομηχανικά </w:t>
      </w:r>
      <w:r w:rsidRPr="00687F57">
        <w:rPr>
          <w:rFonts w:asciiTheme="minorHAnsi" w:hAnsiTheme="minorHAnsi" w:cstheme="minorHAnsi"/>
          <w:color w:val="000000"/>
        </w:rPr>
        <w:t>απόβλητα.</w:t>
      </w:r>
      <w:r w:rsidRPr="00687F57">
        <w:rPr>
          <w:rFonts w:asciiTheme="minorHAnsi" w:hAnsiTheme="minorHAnsi" w:cstheme="minorHAnsi"/>
          <w:color w:val="FF0000"/>
        </w:rPr>
        <w:t xml:space="preserve"> </w:t>
      </w:r>
    </w:p>
    <w:p w:rsidR="0002236B" w:rsidRPr="00687F57" w:rsidRDefault="0002236B" w:rsidP="001A0A64">
      <w:pPr>
        <w:spacing w:line="360" w:lineRule="auto"/>
        <w:ind w:right="22"/>
        <w:jc w:val="both"/>
        <w:rPr>
          <w:rFonts w:asciiTheme="minorHAnsi" w:hAnsiTheme="minorHAnsi" w:cstheme="minorHAnsi"/>
        </w:rPr>
      </w:pPr>
      <w:r w:rsidRPr="00687F57">
        <w:rPr>
          <w:rFonts w:asciiTheme="minorHAnsi" w:hAnsiTheme="minorHAnsi" w:cstheme="minorHAnsi"/>
        </w:rPr>
        <w:t xml:space="preserve">Η προτεινόμενη ρύθμιση, η οποία συντελεί και στην απλούστευση της διοικητικής διαδικασίας αξιολόγησης των νέων τύπων λιπασμάτων που προέρχονται από </w:t>
      </w:r>
      <w:r w:rsidRPr="00687F57">
        <w:rPr>
          <w:rFonts w:asciiTheme="minorHAnsi" w:hAnsiTheme="minorHAnsi" w:cstheme="minorHAnsi"/>
          <w:color w:val="231F20"/>
        </w:rPr>
        <w:t>αστικά ή βιομηχανικά απόβλητα</w:t>
      </w:r>
      <w:r w:rsidRPr="00687F57">
        <w:rPr>
          <w:rFonts w:asciiTheme="minorHAnsi" w:hAnsiTheme="minorHAnsi" w:cstheme="minorHAnsi"/>
        </w:rPr>
        <w:t xml:space="preserve"> κρίνεται αναγκαία, δεδομένου ότι: α) </w:t>
      </w:r>
      <w:r w:rsidRPr="00687F57">
        <w:rPr>
          <w:rFonts w:asciiTheme="minorHAnsi" w:hAnsiTheme="minorHAnsi" w:cstheme="minorHAnsi"/>
          <w:color w:val="231F20"/>
        </w:rPr>
        <w:t xml:space="preserve">τα λιπάσματα δεν εμπίπτουν στο πεδίο εφαρμογής της υπ’ αρ. 80568/4225/22.3.1991 </w:t>
      </w:r>
      <w:r w:rsidRPr="00687F57">
        <w:rPr>
          <w:rFonts w:asciiTheme="minorHAnsi" w:hAnsiTheme="minorHAnsi" w:cstheme="minorHAnsi"/>
        </w:rPr>
        <w:t>(Β΄ 641) απόφασης,</w:t>
      </w:r>
      <w:r w:rsidRPr="00687F57">
        <w:rPr>
          <w:rFonts w:asciiTheme="minorHAnsi" w:hAnsiTheme="minorHAnsi" w:cstheme="minorHAnsi"/>
          <w:color w:val="231F20"/>
        </w:rPr>
        <w:t xml:space="preserve"> η οποία </w:t>
      </w:r>
      <w:r w:rsidRPr="00687F57">
        <w:rPr>
          <w:rFonts w:asciiTheme="minorHAnsi" w:hAnsiTheme="minorHAnsi" w:cstheme="minorHAnsi"/>
        </w:rPr>
        <w:t xml:space="preserve">ρυθμίζει τη διάθεση της ιλύος που προέρχεται από επεξεργασία οικιακών και αστικών λυμάτων κατευθείαν στη γεωργία και μόνο ως εδαφοβελτιωτικό και β) η υπ΄ αρ. </w:t>
      </w:r>
      <w:r w:rsidRPr="00687F57">
        <w:rPr>
          <w:rFonts w:asciiTheme="minorHAnsi" w:hAnsiTheme="minorHAnsi" w:cstheme="minorHAnsi"/>
          <w:color w:val="231F20"/>
        </w:rPr>
        <w:t xml:space="preserve">114218/31.10.1997 (Β΄ 1016) απόφαση </w:t>
      </w:r>
      <w:r w:rsidRPr="00687F57">
        <w:rPr>
          <w:rFonts w:asciiTheme="minorHAnsi" w:hAnsiTheme="minorHAnsi" w:cstheme="minorHAnsi"/>
        </w:rPr>
        <w:t>έχει καταργηθεί.</w:t>
      </w:r>
      <w:r w:rsidRPr="00687F57">
        <w:rPr>
          <w:rFonts w:asciiTheme="minorHAnsi" w:hAnsiTheme="minorHAnsi" w:cstheme="minorHAnsi"/>
          <w:color w:val="231F20"/>
        </w:rPr>
        <w:t xml:space="preserve"> Επισημαίνεται, τέλος, ότι </w:t>
      </w:r>
      <w:r w:rsidRPr="00687F57">
        <w:rPr>
          <w:rFonts w:asciiTheme="minorHAnsi" w:hAnsiTheme="minorHAnsi" w:cstheme="minorHAnsi"/>
        </w:rPr>
        <w:t xml:space="preserve">οι προϋποθέσεις κυκλοφορίας </w:t>
      </w:r>
      <w:r w:rsidRPr="00687F57">
        <w:rPr>
          <w:rFonts w:asciiTheme="minorHAnsi" w:hAnsiTheme="minorHAnsi" w:cstheme="minorHAnsi"/>
          <w:color w:val="231F20"/>
        </w:rPr>
        <w:t xml:space="preserve">για τους νέους τύπους λιπασμάτων </w:t>
      </w:r>
      <w:r w:rsidRPr="00687F57">
        <w:rPr>
          <w:rFonts w:asciiTheme="minorHAnsi" w:hAnsiTheme="minorHAnsi" w:cstheme="minorHAnsi"/>
        </w:rPr>
        <w:t>είναι  αυστηρότερες από  εκείνες που προβλέπονται στην</w:t>
      </w:r>
      <w:r w:rsidRPr="00687F57">
        <w:rPr>
          <w:rFonts w:asciiTheme="minorHAnsi" w:hAnsiTheme="minorHAnsi" w:cstheme="minorHAnsi"/>
          <w:color w:val="231F20"/>
        </w:rPr>
        <w:t xml:space="preserve"> ανωτέρω υπ΄ αρ. 80568/4225/22.3.1991 απόφαση.  </w:t>
      </w:r>
    </w:p>
    <w:p w:rsidR="0002236B" w:rsidRPr="00687F57" w:rsidRDefault="0002236B" w:rsidP="001A0A64">
      <w:pPr>
        <w:shd w:val="clear" w:color="auto" w:fill="FFFFFF"/>
        <w:spacing w:line="360" w:lineRule="auto"/>
        <w:jc w:val="both"/>
        <w:rPr>
          <w:rFonts w:asciiTheme="minorHAnsi" w:hAnsiTheme="minorHAnsi" w:cstheme="minorHAnsi"/>
          <w:color w:val="000000"/>
        </w:rPr>
      </w:pPr>
      <w:r w:rsidRPr="00687F57">
        <w:rPr>
          <w:rFonts w:asciiTheme="minorHAnsi" w:hAnsiTheme="minorHAnsi" w:cstheme="minorHAnsi"/>
          <w:color w:val="000000"/>
        </w:rPr>
        <w:t>Με την παρ. 2 αντικαθίστανται το άρθρο 7 του ν. 1565/1985, όπως αυτό τροποποιήθηκε με την παρ. 7 του άρθρου 49 του ν. 4235/2014 (Α΄ 32),  προκειμένου να επικαιροποιηθούν οι σχετικές ρυθμίσεις που αφορούν τη σύσταση της τεχνικής γνωμοδοτικής επιτροπής λιπασμάτων (ΤΕ.Γ.Ε.Λ.), σύμφωνα και με τον Κώδικα Διοικητικής Διαδικασίας. Η προτεινόμενη τροποποίηση κρίνεται αναγκαία, διότι από την έναρξη ισχύος του ν. 1565/1985 έχει διαφοροποιηθεί σημαντικά το καθεστώς παραγωγής και εμπορίας λιπασμάτων, δεδομένου ότι το πλαίσιο  κρατικής παρέμβασης στον τομέα των λιπασμάτων έχει αντικατασταθεί από αυτό της ελεύθερης αγοράς. Αντίστοιχα, έχουν διαφοροποιηθεί και οι ανάγκες που αφορούν την πολυμελή σύσταση της ΤΕ.Γ.Ε.Λ. (</w:t>
      </w:r>
      <w:r w:rsidR="00655D1D" w:rsidRPr="00687F57">
        <w:rPr>
          <w:rFonts w:asciiTheme="minorHAnsi" w:hAnsiTheme="minorHAnsi" w:cstheme="minorHAnsi"/>
          <w:color w:val="000000"/>
        </w:rPr>
        <w:t>που είναι σήμερα δεκαπεντα</w:t>
      </w:r>
      <w:r w:rsidRPr="00687F57">
        <w:rPr>
          <w:rFonts w:asciiTheme="minorHAnsi" w:hAnsiTheme="minorHAnsi" w:cstheme="minorHAnsi"/>
          <w:color w:val="000000"/>
        </w:rPr>
        <w:t xml:space="preserve">μελής), διότι προκύπτουν </w:t>
      </w:r>
      <w:r w:rsidRPr="00687F57">
        <w:rPr>
          <w:rFonts w:asciiTheme="minorHAnsi" w:hAnsiTheme="minorHAnsi" w:cstheme="minorHAnsi"/>
        </w:rPr>
        <w:t>επανειλημμένως</w:t>
      </w:r>
      <w:r w:rsidRPr="00687F57">
        <w:rPr>
          <w:rFonts w:asciiTheme="minorHAnsi" w:hAnsiTheme="minorHAnsi" w:cstheme="minorHAnsi"/>
          <w:color w:val="000000"/>
        </w:rPr>
        <w:t xml:space="preserve"> ζητήματα απαρτίας και ως εκ τούτου  προβλήματα λειτουργίας της.  Με την προτεινόμενη διάταξη, η οποία έχει ως στόχο </w:t>
      </w:r>
      <w:r w:rsidRPr="00687F57">
        <w:rPr>
          <w:rFonts w:asciiTheme="minorHAnsi" w:hAnsiTheme="minorHAnsi" w:cstheme="minorHAnsi"/>
          <w:color w:val="000000"/>
        </w:rPr>
        <w:lastRenderedPageBreak/>
        <w:t>την  απλούστευση των διαδικασιών, η ΤΕ.Γ.Ε.Λ. αποκτά ένα περισσότερο ευέλικτο, ολιγομελές και αποτελεσματικό σχήμα.</w:t>
      </w:r>
    </w:p>
    <w:p w:rsidR="0002236B" w:rsidRPr="00687F57" w:rsidRDefault="0002236B" w:rsidP="001A0A64">
      <w:pPr>
        <w:shd w:val="clear" w:color="auto" w:fill="FFFFFF"/>
        <w:spacing w:line="360" w:lineRule="auto"/>
        <w:jc w:val="both"/>
        <w:rPr>
          <w:rFonts w:asciiTheme="minorHAnsi" w:hAnsiTheme="minorHAnsi" w:cstheme="minorHAnsi"/>
          <w:color w:val="000000"/>
        </w:rPr>
      </w:pPr>
      <w:r w:rsidRPr="00687F57">
        <w:rPr>
          <w:rFonts w:asciiTheme="minorHAnsi" w:hAnsiTheme="minorHAnsi" w:cstheme="minorHAnsi"/>
          <w:color w:val="000000"/>
        </w:rPr>
        <w:t>Με την παρ. 3 τροποποιείται η παρ. 8 του άρθρου 11 του ν. 1565/1985, προκειμένου να ρυθμισθούν θέματα που αφορούν την υποχρέωση της αρμόδιας Υπηρεσίας να γνωστοποιεί την απόφασή της επί ένστασης (ενδικοφανούς προσφυγής) κατά απόφασης επιβολής διοικητικού προστίμου της παρ. 7 του άρθρου 11 του ν. 1565/1985 στον ενιστάμενο εντός προθεσμίας  τριάντα ημερών.  Συγκεκριμένα, δεν είναι δυνατή η τήρηση της εν λόγω υποχρέωσης, ιδιαίτερα στις περιπτώσεις ενστάσεων που υποβάλλονται λίγο πριν ή λίγο μετά τη σύγκλ</w:t>
      </w:r>
      <w:r w:rsidR="00655D1D" w:rsidRPr="00687F57">
        <w:rPr>
          <w:rFonts w:asciiTheme="minorHAnsi" w:hAnsiTheme="minorHAnsi" w:cstheme="minorHAnsi"/>
          <w:color w:val="000000"/>
        </w:rPr>
        <w:t>η</w:t>
      </w:r>
      <w:r w:rsidRPr="00687F57">
        <w:rPr>
          <w:rFonts w:asciiTheme="minorHAnsi" w:hAnsiTheme="minorHAnsi" w:cstheme="minorHAnsi"/>
          <w:color w:val="000000"/>
        </w:rPr>
        <w:t>ση της ΤΕ.Γ.Ε.Λ., διότι ενώ η διαδικασία επιβολής κυρώσεων εφαρμόζεται από την αρμόδια Υπηρεσία καθ’ όλη τη διάρκεια του έτους, οι αποφάσεις επί των ενστάσεων εκδίδονται μετά από εισήγηση της ΤΕ.Γ.Ε.Λ., η οποία συνεδριάζει μόνο δύο έως τρεις φορές το χρόνο, καθώς η διαδικασία σύγκλησής της είναι χρονοβόρα (απαιτείται η συγκέντρωση και η αποστολή προς τα μέλη της πλήθους  εγγράφων που αφορούν τις υπό κρίση ενστάσεις). Με την προτεινόμενη διάταξη, η εν λόγω προθεσμία των τριάντα (30) ημερών αντικαθίσταται από αντίστοιχη προθεσμία τεσσάρων (4) μηνών, σύμφωνα με τον Κώδικα Διοικητικής Διαδικασίας.</w:t>
      </w:r>
    </w:p>
    <w:p w:rsidR="0002236B" w:rsidRPr="00687F57" w:rsidRDefault="0002236B" w:rsidP="001A0A64">
      <w:pPr>
        <w:shd w:val="clear" w:color="auto" w:fill="FFFFFF"/>
        <w:spacing w:line="360" w:lineRule="auto"/>
        <w:jc w:val="both"/>
        <w:rPr>
          <w:rFonts w:asciiTheme="minorHAnsi" w:hAnsiTheme="minorHAnsi" w:cstheme="minorHAnsi"/>
          <w:color w:val="000000"/>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4</w:t>
      </w:r>
    </w:p>
    <w:p w:rsidR="0002236B" w:rsidRPr="00687F57" w:rsidRDefault="0002236B" w:rsidP="00687F57">
      <w:pPr>
        <w:spacing w:line="360" w:lineRule="auto"/>
        <w:rPr>
          <w:rFonts w:asciiTheme="minorHAnsi" w:hAnsiTheme="minorHAnsi" w:cstheme="minorHAnsi"/>
          <w:b/>
          <w:lang w:val="en-GB"/>
        </w:rPr>
      </w:pPr>
      <w:r w:rsidRPr="00687F57">
        <w:rPr>
          <w:rFonts w:asciiTheme="minorHAnsi" w:hAnsiTheme="minorHAnsi" w:cstheme="minorHAnsi"/>
          <w:b/>
        </w:rPr>
        <w:t xml:space="preserve">Προστασία αγροτικού φυσικού κεφαλαίου </w:t>
      </w:r>
    </w:p>
    <w:p w:rsidR="0002236B" w:rsidRPr="00687F57" w:rsidRDefault="0002236B" w:rsidP="001A077C">
      <w:pPr>
        <w:spacing w:line="360" w:lineRule="auto"/>
        <w:jc w:val="both"/>
        <w:rPr>
          <w:rFonts w:asciiTheme="minorHAnsi" w:hAnsiTheme="minorHAnsi" w:cstheme="minorHAnsi"/>
        </w:rPr>
      </w:pPr>
      <w:r w:rsidRPr="00687F57">
        <w:rPr>
          <w:rFonts w:asciiTheme="minorHAnsi" w:hAnsiTheme="minorHAnsi" w:cstheme="minorHAnsi"/>
        </w:rPr>
        <w:t>Με την παρ. 1 του προτεινόμενου άρθρου αντικαθίσταται το δεύτερο εδάφιο της περ. β΄ της παρ. 3 του άρθρου 17 του ν. 3937/2011 «Διατήρηση της βιοποικιλότητας και άλλες διατάξεις» (Α΄ 60), με σκοπό μέσα από την προτεινόμενη αναδιατύπωση σχετικά με τις αρμόδιες υπηρεσίες για την εθνική απογραφή βιοποικιλότητας ανά δεκαετία που αποτελεί βασικό εργαλείο διαχείρισης της βιοποικιλότητας, να προβλεφθεί το σύνολο των υπηρεσιών του ΥΠΑΑΤ που είναι συναρμόδιες για το έργο αυτό, σε συνεργασία με τη Γενική Διεύθυνση Περιβαλλοντικής Πολιτικής του Υπουργείου Περιβάλλοντος και Ενέργειας που το αναλαμβάνει.</w:t>
      </w:r>
    </w:p>
    <w:p w:rsidR="0002236B" w:rsidRPr="00687F57" w:rsidRDefault="0002236B" w:rsidP="001A077C">
      <w:pPr>
        <w:spacing w:line="360" w:lineRule="auto"/>
        <w:jc w:val="both"/>
        <w:rPr>
          <w:rFonts w:asciiTheme="minorHAnsi" w:hAnsiTheme="minorHAnsi" w:cstheme="minorHAnsi"/>
        </w:rPr>
      </w:pPr>
      <w:r w:rsidRPr="00687F57">
        <w:rPr>
          <w:rFonts w:asciiTheme="minorHAnsi" w:hAnsiTheme="minorHAnsi" w:cstheme="minorHAnsi"/>
        </w:rPr>
        <w:t xml:space="preserve">Με την παρ. 2 του προτεινόμενου άρθρου προστίθεται εξουσιοδοτική διάταξη, η οποία κρίνεται αναγκαία για την εφαρμογή του άρθρου 9 της Διεθνούς Συνθήκης σχετικά με τους φυτογενετικούς πόρους για τη διατροφή και τη γεωργία, η οποία υιοθετήθηκε στη Ρώμη κατά την 31η Σύνοδο του FAO (Food and Agriculture </w:t>
      </w:r>
      <w:r w:rsidRPr="00687F57">
        <w:rPr>
          <w:rFonts w:asciiTheme="minorHAnsi" w:hAnsiTheme="minorHAnsi" w:cstheme="minorHAnsi"/>
        </w:rPr>
        <w:lastRenderedPageBreak/>
        <w:t>Organization of the United Nations) στις 3 Νοεμβρίου 2001 και κυρώθηκε με το άρθρο πρώτο του ν. 3165/2003 «Κύρωση της Διεθνούς Συνθήκης σχετικά με τους φυτογενετικούς πόρους για τη διατροφή και τη γεωργία» (Α΄ 177) που αφορά τα δικαιώματα των γεωργών όσον αφορά τους φυτογενετικούς πόρους για τη διατροφή και τη γεωργία.</w:t>
      </w:r>
    </w:p>
    <w:p w:rsidR="0002236B" w:rsidRPr="00687F57" w:rsidRDefault="0002236B" w:rsidP="001A0A64">
      <w:pPr>
        <w:spacing w:line="360" w:lineRule="auto"/>
        <w:rPr>
          <w:rFonts w:asciiTheme="minorHAnsi" w:hAnsiTheme="minorHAnsi" w:cstheme="minorHAnsi"/>
          <w:b/>
          <w:color w:val="FF0000"/>
          <w:lang w:val="en-GB"/>
        </w:rPr>
      </w:pPr>
    </w:p>
    <w:p w:rsidR="0002236B" w:rsidRPr="00687F57" w:rsidRDefault="0002236B" w:rsidP="001A0A64">
      <w:pPr>
        <w:spacing w:line="360" w:lineRule="auto"/>
        <w:rPr>
          <w:rFonts w:asciiTheme="minorHAnsi" w:hAnsiTheme="minorHAnsi" w:cstheme="minorHAnsi"/>
          <w:b/>
        </w:rPr>
      </w:pPr>
      <w:r w:rsidRPr="00687F57">
        <w:rPr>
          <w:rFonts w:asciiTheme="minorHAnsi" w:hAnsiTheme="minorHAnsi" w:cstheme="minorHAnsi"/>
          <w:b/>
        </w:rPr>
        <w:t>ΚΕΦΑΛΑΙΟ Β΄</w:t>
      </w:r>
    </w:p>
    <w:p w:rsidR="0002236B" w:rsidRPr="00687F57" w:rsidRDefault="0002236B" w:rsidP="001A0A64">
      <w:pPr>
        <w:spacing w:line="360" w:lineRule="auto"/>
        <w:rPr>
          <w:rFonts w:asciiTheme="minorHAnsi" w:hAnsiTheme="minorHAnsi" w:cstheme="minorHAnsi"/>
          <w:b/>
        </w:rPr>
      </w:pPr>
      <w:r w:rsidRPr="00687F57">
        <w:rPr>
          <w:rFonts w:asciiTheme="minorHAnsi" w:hAnsiTheme="minorHAnsi" w:cstheme="minorHAnsi"/>
          <w:b/>
        </w:rPr>
        <w:t>ΡΥΘΜΙΣΕΙΣ ΘΕΜΑΤΩΝ ΓΕΩΡΓΙΑΣ - ΚΤΗΝΟΤΡΟΦΙΑΣ</w:t>
      </w:r>
    </w:p>
    <w:p w:rsidR="0002236B" w:rsidRPr="00687F57" w:rsidRDefault="0002236B" w:rsidP="001A0A64">
      <w:pPr>
        <w:spacing w:line="360" w:lineRule="auto"/>
        <w:rPr>
          <w:rFonts w:asciiTheme="minorHAnsi" w:hAnsiTheme="minorHAnsi" w:cstheme="minorHAnsi"/>
          <w:b/>
          <w:color w:val="FF0000"/>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5</w:t>
      </w:r>
    </w:p>
    <w:p w:rsidR="0002236B" w:rsidRPr="00687F57" w:rsidRDefault="0002236B" w:rsidP="00687F57">
      <w:pPr>
        <w:autoSpaceDE w:val="0"/>
        <w:autoSpaceDN w:val="0"/>
        <w:adjustRightInd w:val="0"/>
        <w:spacing w:line="360" w:lineRule="auto"/>
        <w:rPr>
          <w:rFonts w:asciiTheme="minorHAnsi" w:hAnsiTheme="minorHAnsi" w:cstheme="minorHAnsi"/>
          <w:b/>
          <w:bCs/>
          <w:color w:val="000000"/>
          <w:lang w:val="en-GB"/>
        </w:rPr>
      </w:pPr>
      <w:r w:rsidRPr="00687F57">
        <w:rPr>
          <w:rFonts w:asciiTheme="minorHAnsi" w:hAnsiTheme="minorHAnsi" w:cstheme="minorHAnsi"/>
          <w:b/>
          <w:bCs/>
          <w:color w:val="000000"/>
        </w:rPr>
        <w:t xml:space="preserve">Πολλαπλασιαστικό υλικό </w:t>
      </w:r>
    </w:p>
    <w:p w:rsidR="0002236B" w:rsidRPr="00687F57" w:rsidRDefault="0002236B" w:rsidP="002935EE">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Κατά την εφαρμογή του άρθρου 2α του ν. 4139/2013, καθώς και της αριθμ. 51483/700/Φ.15/2018 κοινής υπουργικής απόφασης (Β΄ 1692), η οποία εκδόθηκε κατ’ εξουσιοδότησή του, προέκυψαν  ορισμένα προβλήματα. Ειδικότερα:</w:t>
      </w:r>
    </w:p>
    <w:p w:rsidR="0002236B" w:rsidRPr="00687F57" w:rsidRDefault="0002236B" w:rsidP="000C41B4">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Με την εξουσιοδοτική διάταξη της παρ. 4 του άρθρου 2α του ν. 4139/2013 χορηγείται εξουσιοδότηση στους αρμόδιους Υπουργούς να ρυθμίσουν μεταξύ άλλων τον τρόπο έγκρισης εισαγωγής μόνο σπόρων προς σπορά, αντί να γίνεται αναφορά στο πολλαπλασιαστικό υλικό των ποικιλιών κάνναβης του είδους Cannabis Sativa L περιεκτικότητας σε τετραϋδροκανναβινόλη (THC) άνω του 0,2% για ιατρικούς σκοπούς, όπως γίνεται στην παρ. 7 του ίδιου άρθρου. Επιπλέον, στις παρ. 4 και 7 του ίδιου άρθρου αναφέρεται ο όρος «εισαγωγή» με αποτέλεσμα να δημιουργείται ασάφεια σχετικά με το αν το πολλαπλασιαστικό υλικό μπορεί να αποκτηθεί και από κράτη μέλη της Ευρωπαϊκής Ένωσης, καθώς ο όρος «εισαγωγή» χρησιμοποιείται συνήθως για να δηλώσει την απόκτηση μόνο από τρίτες χώρες και όχι από  κράτη μέλη της Ευρωπαϊκής Ένωσης (Ε.Ε.).</w:t>
      </w:r>
    </w:p>
    <w:p w:rsidR="0002236B" w:rsidRPr="00687F57" w:rsidRDefault="0002236B" w:rsidP="000C41B4">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Προκειμένου, λοιπόν, να διευκολυνθεί η εύρυθμη λειτουργία των επενδυτικών μονάδων καλλιέργειας ποικιλιών φαρμακευτικής κάνναβης, το έργο των αρμόδιων ελεγκτικών αρχών και η οριζόντια εφαρμογή του θεσμικού πλαισίου, με τις διατάξεις των περ. α</w:t>
      </w:r>
      <w:r w:rsidR="00D461D1" w:rsidRPr="00687F57">
        <w:rPr>
          <w:rFonts w:asciiTheme="minorHAnsi" w:hAnsiTheme="minorHAnsi" w:cstheme="minorHAnsi"/>
        </w:rPr>
        <w:t>)</w:t>
      </w:r>
      <w:r w:rsidRPr="00687F57">
        <w:rPr>
          <w:rFonts w:asciiTheme="minorHAnsi" w:hAnsiTheme="minorHAnsi" w:cstheme="minorHAnsi"/>
        </w:rPr>
        <w:t xml:space="preserve"> και β</w:t>
      </w:r>
      <w:r w:rsidR="00D461D1" w:rsidRPr="00687F57">
        <w:rPr>
          <w:rFonts w:asciiTheme="minorHAnsi" w:hAnsiTheme="minorHAnsi" w:cstheme="minorHAnsi"/>
        </w:rPr>
        <w:t>)</w:t>
      </w:r>
      <w:r w:rsidRPr="00687F57">
        <w:rPr>
          <w:rFonts w:asciiTheme="minorHAnsi" w:hAnsiTheme="minorHAnsi" w:cstheme="minorHAnsi"/>
        </w:rPr>
        <w:t xml:space="preserve"> του προτεινόμενου άρθρου  διευκρινίζεται ότι:</w:t>
      </w:r>
    </w:p>
    <w:p w:rsidR="0002236B" w:rsidRPr="00687F57" w:rsidRDefault="0002236B" w:rsidP="000C41B4">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 xml:space="preserve">α) ο όρος «εισαγωγή» αφορά τόσο την απόκτηση του πολλαπλασιαστικού υλικού από τρίτες χώρες όσο και από κράτη μέλη της ΕΕ και επομένως προβλέπεται η δυνατότητα της ενδοκοινοτικής απόκτησης πολλαπλασιαστικού υλικού ποικιλιών </w:t>
      </w:r>
      <w:r w:rsidRPr="00687F57">
        <w:rPr>
          <w:rFonts w:asciiTheme="minorHAnsi" w:hAnsiTheme="minorHAnsi" w:cstheme="minorHAnsi"/>
        </w:rPr>
        <w:lastRenderedPageBreak/>
        <w:t xml:space="preserve">φαρμακευτικής κάνναβης, λαμβάνοντας υπόψη σχετικά αιτήματα επενδυτικών μονάδων,  </w:t>
      </w:r>
    </w:p>
    <w:p w:rsidR="0002236B" w:rsidRPr="00687F57" w:rsidRDefault="0002236B" w:rsidP="000C41B4">
      <w:pPr>
        <w:autoSpaceDE w:val="0"/>
        <w:autoSpaceDN w:val="0"/>
        <w:adjustRightInd w:val="0"/>
        <w:spacing w:line="360" w:lineRule="auto"/>
        <w:jc w:val="both"/>
        <w:rPr>
          <w:rFonts w:asciiTheme="minorHAnsi" w:hAnsiTheme="minorHAnsi" w:cstheme="minorHAnsi"/>
          <w:color w:val="000000"/>
        </w:rPr>
      </w:pPr>
      <w:r w:rsidRPr="00687F57">
        <w:rPr>
          <w:rFonts w:asciiTheme="minorHAnsi" w:hAnsiTheme="minorHAnsi" w:cstheme="minorHAnsi"/>
        </w:rPr>
        <w:t xml:space="preserve">β) η έγκριση εισαγωγής αφορά όλους τους τύπους πολλαπλασιαστικού υλικού των ποικιλιών κάνναβης του είδους Cannabis Sativa L L περιεκτικότητας σε τετραϋδροκανναβινόλη (THC) άνω του 0,2% για ιατρικούς σκοπούς (σπόρους προς σπορά, φυτάρια, μοσχεύματα, φυτάρια ιστοκαλλιέργειας), με την </w:t>
      </w:r>
      <w:r w:rsidRPr="00687F57">
        <w:rPr>
          <w:rFonts w:asciiTheme="minorHAnsi" w:hAnsiTheme="minorHAnsi" w:cstheme="minorHAnsi"/>
          <w:color w:val="000000"/>
        </w:rPr>
        <w:t>υιοθέτηση</w:t>
      </w:r>
      <w:r w:rsidRPr="00687F57">
        <w:rPr>
          <w:rFonts w:asciiTheme="minorHAnsi" w:hAnsiTheme="minorHAnsi" w:cstheme="minorHAnsi"/>
          <w:color w:val="000000"/>
          <w:lang w:val="en-US"/>
        </w:rPr>
        <w:t> </w:t>
      </w:r>
      <w:r w:rsidRPr="00687F57">
        <w:rPr>
          <w:rFonts w:asciiTheme="minorHAnsi" w:hAnsiTheme="minorHAnsi" w:cstheme="minorHAnsi"/>
          <w:color w:val="000000"/>
        </w:rPr>
        <w:t xml:space="preserve"> του γενικότερου όρου «πολλαπλασιαστικό υλικό».</w:t>
      </w:r>
    </w:p>
    <w:p w:rsidR="0002236B" w:rsidRPr="00687F57" w:rsidRDefault="0002236B" w:rsidP="000C41B4">
      <w:pPr>
        <w:autoSpaceDE w:val="0"/>
        <w:autoSpaceDN w:val="0"/>
        <w:adjustRightInd w:val="0"/>
        <w:spacing w:line="360" w:lineRule="auto"/>
        <w:jc w:val="both"/>
        <w:rPr>
          <w:rFonts w:asciiTheme="minorHAnsi" w:hAnsiTheme="minorHAnsi" w:cstheme="minorHAnsi"/>
          <w:color w:val="000000"/>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6</w:t>
      </w:r>
    </w:p>
    <w:p w:rsidR="0002236B" w:rsidRPr="00687F57" w:rsidRDefault="0002236B" w:rsidP="00687F57">
      <w:pPr>
        <w:autoSpaceDE w:val="0"/>
        <w:autoSpaceDN w:val="0"/>
        <w:adjustRightInd w:val="0"/>
        <w:spacing w:line="360" w:lineRule="auto"/>
        <w:rPr>
          <w:rFonts w:asciiTheme="minorHAnsi" w:hAnsiTheme="minorHAnsi" w:cstheme="minorHAnsi"/>
          <w:b/>
          <w:lang w:val="en-GB"/>
        </w:rPr>
      </w:pPr>
      <w:r w:rsidRPr="00687F57">
        <w:rPr>
          <w:rFonts w:asciiTheme="minorHAnsi" w:hAnsiTheme="minorHAnsi" w:cstheme="minorHAnsi"/>
          <w:b/>
        </w:rPr>
        <w:t xml:space="preserve">Εισαγωγές και εξαγωγές φυτικών προϊόντων </w:t>
      </w:r>
    </w:p>
    <w:p w:rsidR="0002236B" w:rsidRPr="00687F57" w:rsidRDefault="0002236B" w:rsidP="00B47BC3">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Με την προτεινόμενη διάταξη προστίθεται παρ. 10 στο άρθρο 13 του ν. 4036/2012</w:t>
      </w:r>
      <w:r w:rsidR="00D461D1" w:rsidRPr="00687F57">
        <w:rPr>
          <w:rFonts w:asciiTheme="minorHAnsi" w:hAnsiTheme="minorHAnsi" w:cstheme="minorHAnsi"/>
        </w:rPr>
        <w:t>,</w:t>
      </w:r>
      <w:r w:rsidRPr="00687F57">
        <w:rPr>
          <w:rFonts w:asciiTheme="minorHAnsi" w:hAnsiTheme="minorHAnsi" w:cstheme="minorHAnsi"/>
        </w:rPr>
        <w:t xml:space="preserve"> με σκοπό να διευκρινισθεί ότι στην παρ. 1 του ίδιου άρθρου 13 ως εισαγωγή ή εξαγωγή φυτικών προϊόντων ή προϊόντων πρώτης μεταποίησης που φέρουν υπολείμματα φυτοπροστατευτικών προϊόντων υψηλότερα από τα ανώτατα επιτρεπτά όρια, όπως αυτά ορίζονται στον Κανονισμό (ΕΚ) αριθ. 396/2005 του Ευρωπαϊκού Κοινοβουλίου και του Συμβουλίου (ΕΕ L 070 της 16-3-2005, σελ. 1), νοείται τόσο η εισαγωγή ή εξαγωγή από ή προς άλλα κράτη μέλη της ΕΕ (ενδοκοινοτική απόκτηση), όσο και αυτή από ή προς τρίτες χώρες εκτός ΕΕ. Η ίδια διευκρίνιση ως προς την έννοια της εισαγωγής ή εξαγωγής φυτικών προϊόντων ισχύει και για την παρ. 1 του άρθρου 14 του ν. 4036/2012.</w:t>
      </w:r>
    </w:p>
    <w:p w:rsidR="0002236B" w:rsidRPr="00687F57" w:rsidRDefault="0002236B" w:rsidP="00B47BC3">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Η εν λόγω διάταξη κρίνεται αναγκαία για την άρση ερμηνευτικών ζητημάτων που προέκυψαν κατά την εφαρμογή των άρθρων 13 και 14 του ν. 4036/2012.</w:t>
      </w:r>
    </w:p>
    <w:p w:rsidR="0002236B" w:rsidRPr="00687F57" w:rsidRDefault="0002236B" w:rsidP="00131B7B">
      <w:pPr>
        <w:autoSpaceDE w:val="0"/>
        <w:autoSpaceDN w:val="0"/>
        <w:adjustRightInd w:val="0"/>
        <w:spacing w:line="360" w:lineRule="auto"/>
        <w:rPr>
          <w:rFonts w:asciiTheme="minorHAnsi" w:hAnsiTheme="minorHAnsi" w:cstheme="minorHAnsi"/>
          <w:b/>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7</w:t>
      </w:r>
    </w:p>
    <w:p w:rsidR="0002236B" w:rsidRPr="00687F57" w:rsidRDefault="0002236B" w:rsidP="00687F57">
      <w:pPr>
        <w:autoSpaceDE w:val="0"/>
        <w:autoSpaceDN w:val="0"/>
        <w:adjustRightInd w:val="0"/>
        <w:spacing w:line="360" w:lineRule="auto"/>
        <w:rPr>
          <w:rFonts w:asciiTheme="minorHAnsi" w:hAnsiTheme="minorHAnsi" w:cstheme="minorHAnsi"/>
          <w:b/>
          <w:lang w:val="en-GB"/>
        </w:rPr>
      </w:pPr>
      <w:r w:rsidRPr="00687F57">
        <w:rPr>
          <w:rFonts w:asciiTheme="minorHAnsi" w:hAnsiTheme="minorHAnsi" w:cstheme="minorHAnsi"/>
          <w:b/>
        </w:rPr>
        <w:t>Καλλιέργεια βιομηχανικής κάνναβης</w:t>
      </w:r>
    </w:p>
    <w:p w:rsidR="0002236B" w:rsidRPr="00687F57" w:rsidRDefault="0002236B" w:rsidP="00A56A40">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 xml:space="preserve">Με τις ισχύουσες διατάξεις όταν κατά τον έλεγχο διαπιστώνεται ότι η περιεκτικότητα της καλλιέργειας και των ακατέργαστων προϊόντων της σε τετραϋδροκανναβινόλη (THC) υπερβαίνει το όριο του 0,2%, αλλά δεν επεκτείνεται πέραν του ορίου του 0,6%, ποινική δίωξη ασκείται μόνο ύστερα από αίτηση του Προϊσταμένου της Αρχής που διεξήγαγε τον έλεγχο προς τον κατά τόπο αρμόδιο Εισαγγελέα Πρωτοδικών. Στην αίτηση πρέπει να αιτιολογείται ειδικά και εμπεριστατωμένα ότι: α) η υπέρβαση του νόμιμου ορίου σε τετραϋδροκανναβινόλη </w:t>
      </w:r>
      <w:r w:rsidRPr="00687F57">
        <w:rPr>
          <w:rFonts w:asciiTheme="minorHAnsi" w:hAnsiTheme="minorHAnsi" w:cstheme="minorHAnsi"/>
        </w:rPr>
        <w:lastRenderedPageBreak/>
        <w:t xml:space="preserve">δεν οφείλεται στις ειδικές περιβαλλοντικές συνθήκες ή άλλους παράγοντες που ήταν άγνωστοι στον παραγωγό και β) ότι η συγκομιδή είναι πρόσφορη να οδηγήσει στην παραγωγή ουσίας που προκαλεί ψυχική ή σωματική εξάρτηση. </w:t>
      </w:r>
    </w:p>
    <w:p w:rsidR="0002236B" w:rsidRPr="00687F57" w:rsidRDefault="0002236B" w:rsidP="00A56A40">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 xml:space="preserve">Η εν λόγω διάταξη </w:t>
      </w:r>
      <w:r w:rsidR="00D461D1" w:rsidRPr="00687F57">
        <w:rPr>
          <w:rFonts w:asciiTheme="minorHAnsi" w:hAnsiTheme="minorHAnsi" w:cstheme="minorHAnsi"/>
        </w:rPr>
        <w:t xml:space="preserve">προκάλεσε </w:t>
      </w:r>
      <w:r w:rsidRPr="00687F57">
        <w:rPr>
          <w:rFonts w:asciiTheme="minorHAnsi" w:hAnsiTheme="minorHAnsi" w:cstheme="minorHAnsi"/>
        </w:rPr>
        <w:t>πολλά προβλήματα κατά την εφαρμογή της για τους παρακάτω λόγους:</w:t>
      </w:r>
    </w:p>
    <w:p w:rsidR="0002236B" w:rsidRPr="00687F57" w:rsidRDefault="0002236B" w:rsidP="00A56A40">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 xml:space="preserve">α) Οι Προϊστάμενοι των Τμημάτων Αγροτικής Ανάπτυξης και Ελέγχων (ΤΑΑΕ) του ΥΠΑΑΤ που έχουν την αρμοδιότητα του ελέγχου δεν μπορούν να αιτιολογήσουν εμπεριστατωμένα, με αντικειμενικά κριτήρια, την αποκλειστική ευθύνη του καλλιεργητή κάνναβης για την υπέρβαση του ορίου συγκέντρωσης της τετραϋδροκανναβινόλης, στα ακατέργαστα προϊόντα καλλιεργειών κάνναβης. </w:t>
      </w:r>
    </w:p>
    <w:p w:rsidR="0002236B" w:rsidRPr="00687F57" w:rsidRDefault="0002236B" w:rsidP="00A56A40">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 xml:space="preserve">β) Η δυνατότητα παραγωγής από αυτά τα προϊόντα, ουσιών που προκαλούν ψυχική ή σωματική εξάρτηση, αφορά την ιατρική επιστήμη και δεν μπορεί να κριθεί από τον </w:t>
      </w:r>
      <w:r w:rsidR="00D461D1" w:rsidRPr="00687F57">
        <w:rPr>
          <w:rFonts w:asciiTheme="minorHAnsi" w:hAnsiTheme="minorHAnsi" w:cstheme="minorHAnsi"/>
        </w:rPr>
        <w:t xml:space="preserve">οικείο </w:t>
      </w:r>
      <w:r w:rsidRPr="00687F57">
        <w:rPr>
          <w:rFonts w:asciiTheme="minorHAnsi" w:hAnsiTheme="minorHAnsi" w:cstheme="minorHAnsi"/>
        </w:rPr>
        <w:t xml:space="preserve">Προϊστάμενο του ΤΑΑΕ. </w:t>
      </w:r>
    </w:p>
    <w:p w:rsidR="0002236B" w:rsidRPr="00687F57" w:rsidRDefault="0002236B" w:rsidP="00A56A40">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γ) Με την ισχύουσα ατελή ρύθμιση δημιουργούνται θέματα υποκειμενικότητας και αδιαφάνειας και δεν είναι σαφές εάν καταστρέφεται η καλλιέργεια κάνναβης στην περίπτωση που υπάρχει υπέρβαση του νόμιμου ορίου σε THC (0,2%) ή τα ακατέργαστα προϊόντα που προέρχονται από την εν λόγω καλλιέργεια μπορούν να διακινηθούν νόμιμα.</w:t>
      </w:r>
    </w:p>
    <w:p w:rsidR="0002236B" w:rsidRPr="00687F57" w:rsidRDefault="0002236B" w:rsidP="00A56A40">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Οι ανωτέρω ατέλειες καλύπτονται με την προτεινόμενη διάταξη.</w:t>
      </w:r>
    </w:p>
    <w:p w:rsidR="0002236B" w:rsidRPr="00687F57" w:rsidRDefault="0002236B" w:rsidP="002E11B7">
      <w:pPr>
        <w:autoSpaceDE w:val="0"/>
        <w:autoSpaceDN w:val="0"/>
        <w:adjustRightInd w:val="0"/>
        <w:spacing w:line="360" w:lineRule="auto"/>
        <w:rPr>
          <w:rFonts w:asciiTheme="minorHAnsi" w:hAnsiTheme="minorHAnsi" w:cstheme="minorHAnsi"/>
          <w:b/>
          <w:lang w:val="en-GB"/>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8</w:t>
      </w:r>
    </w:p>
    <w:p w:rsidR="0002236B" w:rsidRPr="00687F57" w:rsidRDefault="0002236B" w:rsidP="00687F57">
      <w:pPr>
        <w:autoSpaceDE w:val="0"/>
        <w:autoSpaceDN w:val="0"/>
        <w:adjustRightInd w:val="0"/>
        <w:spacing w:line="360" w:lineRule="auto"/>
        <w:rPr>
          <w:rFonts w:asciiTheme="minorHAnsi" w:hAnsiTheme="minorHAnsi" w:cstheme="minorHAnsi"/>
          <w:b/>
          <w:lang w:val="en-GB"/>
        </w:rPr>
      </w:pPr>
      <w:r w:rsidRPr="00687F57">
        <w:rPr>
          <w:rFonts w:asciiTheme="minorHAnsi" w:hAnsiTheme="minorHAnsi" w:cstheme="minorHAnsi"/>
          <w:b/>
        </w:rPr>
        <w:t>Κτηνοτροφικές εγκαταστάσεις</w:t>
      </w:r>
    </w:p>
    <w:p w:rsidR="0002236B" w:rsidRPr="00687F57" w:rsidRDefault="0002236B" w:rsidP="002935EE">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Με την περ. α΄ του προτεινόμενου άρθρου αντικαθίσταται η παρ. 3 του άρθρου 17</w:t>
      </w:r>
      <w:r w:rsidR="00CF4FA2" w:rsidRPr="00687F57">
        <w:rPr>
          <w:rFonts w:asciiTheme="minorHAnsi" w:hAnsiTheme="minorHAnsi" w:cstheme="minorHAnsi"/>
          <w:vertAlign w:val="superscript"/>
        </w:rPr>
        <w:t>α</w:t>
      </w:r>
      <w:r w:rsidR="00D461D1" w:rsidRPr="00687F57">
        <w:rPr>
          <w:rFonts w:asciiTheme="minorHAnsi" w:hAnsiTheme="minorHAnsi" w:cstheme="minorHAnsi"/>
        </w:rPr>
        <w:t xml:space="preserve"> του ν. 4056/2012</w:t>
      </w:r>
      <w:r w:rsidRPr="00687F57">
        <w:rPr>
          <w:rFonts w:asciiTheme="minorHAnsi" w:hAnsiTheme="minorHAnsi" w:cstheme="minorHAnsi"/>
        </w:rPr>
        <w:t xml:space="preserve">, όπως το άρθρο αυτό προστέθηκε με την παρ. 1 του άρθρου 12 του ν. 4351/2015 (Α΄ 164) και η παράγραφος αυτή αντικαταστάθηκε με την παρ. 1 του άρθρου 15 του ν. 4587/2018 (Α΄ 218), προκειμένου να παραταθεί η προθεσμία υποβολής των αιτήσεων για τη νοµιµοποίηση των υφιστάµενων κατά την έναρξη ισχύος του ν. 4056/2012 κτηνοτροφικών εγκαταστάσεων που βρίσκονται εντός ή πλησίον κατοικηµένων περιοχών μέχρι την 30η Απριλίου 2020. Ειδικότερα, με την παράγραφο 3 του άρθρου 17α του ν. 4056/2012, που προστέθηκε με το άρθρο 12 του ν. 4351/2015, προβλεπόταν διετής, από την έναρξη ισχύος του ως άνω νόμου, προθεσμία υποβολής των συγκεκριμένων αιτήσεων. Με την υπ’ αριθμ. </w:t>
      </w:r>
      <w:r w:rsidRPr="00687F57">
        <w:rPr>
          <w:rFonts w:asciiTheme="minorHAnsi" w:hAnsiTheme="minorHAnsi" w:cstheme="minorHAnsi"/>
        </w:rPr>
        <w:lastRenderedPageBreak/>
        <w:t>940/81279/26.7.2017 (Β΄ 2741) ΚΥΑ, που εκδόθηκε κατ’ εξουσιοδότηση της παρ. 5 του άρθρου 17α του ν. 4056/2012, η προθεσμία υποβολής αιτήσεων έληξε την 4.12.2017. Λαμβάνοντας υπόψη, όμως,  ότι αφενός η ως άνω ΚΥΑ  δημοσιεύτηκε και ισχύει από τις 4.8.2017 και ότι σχετική διευκρινιστική εγκύκλιος (ΑΔΑ:ΩΞΘ54653ΠΓ-ΞΤΜ) εκδόθηκε μόλις στις 17.11.2017, και αφετέρου την ανάγκη αντιμετώπισης του προβλήματος των εγκαταστάσεων, με το άρθρο 15 του ν. 4587/2018 (Α΄ 218) παρατάθηκε η προθεσμία υποβολής των αιτήσεων έως τις 30.06.2019. Με την προτεινόμενη διάταξη παρατείνεται η προθεσμία υποβολής των ανωτέρω αιτήσεων έως και τις 31.12.2020, προκειμένου να δοθεί το αναγκαίο χρονικό διάστημα για να ολοκληρωθεί η διαδικασία έκδοσης της άδειας διατήρησης και να διευκολυνθούν οι κάτοχοι των κτηνοτροφικών εγκαταστάσεων να συγκεντρώσουν το σύνολο των δικαιολογητικών που απαιτούνται για την έκδοση της άδειας διατήρησης των σταυλικών τους εγκαταστάσεων, δεδομένου ότι για την έκδοση ορισμένων από τα εν λόγω δικαιολογητικά απαιτούνται χρονοβόρες διαδικασίες. Επιπλέον, προβλέπεται ότι μέχρι τη λήξη της προθεσμίας που οι ενδιαφερόμενοι έχουν για την κατάθεση αίτησης για τη διατήρηση των κτηνοτροφικών τους εγκαταστάσεων, δηλαδή μέχρι 31.12.2020, αναστέλλεται η ισχύς των διοικητικών πράξεων με τις οποίες διατάχθηκε διακοπή λειτουργίας, αποβολή, κατεδάφιση ή επιβολή προστίμου και έχουν εκδοθεί αλλά δεν έχουν εκτελεστεί, ανακαλούνται δε οριστικά εφόσον εκδοθεί η άδεια διατήρησης της παραγράφου 2 του άρθρου 17α του ν. 4056/2012. Η διάταξη αυτή δεν εφαρμόζεται σε περίπτωση που  οι  υπόψη διοικητικές πράξεις έχουν εκτελεστεί. Τέλος, με την περ. β΄, διευκρινίζεται ότι η παράταση της ως άνω προθεσμίας, καταλαμβάνει και το</w:t>
      </w:r>
      <w:r w:rsidR="00D461D1" w:rsidRPr="00687F57">
        <w:rPr>
          <w:rFonts w:asciiTheme="minorHAnsi" w:hAnsiTheme="minorHAnsi" w:cstheme="minorHAnsi"/>
        </w:rPr>
        <w:t>ν</w:t>
      </w:r>
      <w:r w:rsidRPr="00687F57">
        <w:rPr>
          <w:rFonts w:asciiTheme="minorHAnsi" w:hAnsiTheme="minorHAnsi" w:cstheme="minorHAnsi"/>
        </w:rPr>
        <w:t xml:space="preserve"> χρόνο από τη λήξη της προϊσχύσασας προθεσμίας, ήτοι από τ</w:t>
      </w:r>
      <w:r w:rsidR="00D461D1" w:rsidRPr="00687F57">
        <w:rPr>
          <w:rFonts w:asciiTheme="minorHAnsi" w:hAnsiTheme="minorHAnsi" w:cstheme="minorHAnsi"/>
        </w:rPr>
        <w:t>ις</w:t>
      </w:r>
      <w:r w:rsidRPr="00687F57">
        <w:rPr>
          <w:rFonts w:asciiTheme="minorHAnsi" w:hAnsiTheme="minorHAnsi" w:cstheme="minorHAnsi"/>
        </w:rPr>
        <w:t xml:space="preserve"> 30.6.2019, κατά τα ανωτέρω εκτεθέντα.</w:t>
      </w:r>
    </w:p>
    <w:p w:rsidR="0002236B" w:rsidRPr="00687F57" w:rsidRDefault="0002236B" w:rsidP="00B33500">
      <w:pPr>
        <w:autoSpaceDE w:val="0"/>
        <w:autoSpaceDN w:val="0"/>
        <w:adjustRightInd w:val="0"/>
        <w:spacing w:before="120" w:after="120" w:line="360" w:lineRule="auto"/>
        <w:ind w:right="-154"/>
        <w:rPr>
          <w:rFonts w:asciiTheme="minorHAnsi" w:hAnsiTheme="minorHAnsi" w:cstheme="minorHAnsi"/>
          <w:b/>
          <w:bCs/>
          <w:color w:val="000000"/>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9</w:t>
      </w:r>
    </w:p>
    <w:p w:rsidR="0002236B" w:rsidRPr="00687F57" w:rsidRDefault="0002236B" w:rsidP="00687F57">
      <w:pPr>
        <w:autoSpaceDE w:val="0"/>
        <w:autoSpaceDN w:val="0"/>
        <w:adjustRightInd w:val="0"/>
        <w:spacing w:line="360" w:lineRule="auto"/>
        <w:rPr>
          <w:rFonts w:asciiTheme="minorHAnsi" w:hAnsiTheme="minorHAnsi" w:cstheme="minorHAnsi"/>
          <w:b/>
          <w:bCs/>
          <w:color w:val="000000"/>
          <w:lang w:val="en-GB"/>
        </w:rPr>
      </w:pPr>
      <w:r w:rsidRPr="00687F57">
        <w:rPr>
          <w:rFonts w:asciiTheme="minorHAnsi" w:hAnsiTheme="minorHAnsi" w:cstheme="minorHAnsi"/>
          <w:b/>
          <w:bCs/>
          <w:color w:val="000000"/>
        </w:rPr>
        <w:t>Εθνικό ηλεκτρονικό μελισσοκομικό μητρώο - Ατομική μελισσοκομική ταυτότητα</w:t>
      </w:r>
    </w:p>
    <w:p w:rsidR="0002236B" w:rsidRPr="00687F57" w:rsidRDefault="0002236B" w:rsidP="0062075E">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 xml:space="preserve">Με το προτεινόμενο άρθρο επιδιώκεται η καθιέρωση ενιαίου συστήματος καταγραφής, απογραφής και ταυτοποίησης όλων των μελισσοκόμων και του μελισσοκομικού κεφαλαίου της χώρας μέσω της ανάπτυξης και λειτουργίας </w:t>
      </w:r>
      <w:r w:rsidRPr="00687F57">
        <w:rPr>
          <w:rFonts w:asciiTheme="minorHAnsi" w:hAnsiTheme="minorHAnsi" w:cstheme="minorHAnsi"/>
        </w:rPr>
        <w:lastRenderedPageBreak/>
        <w:t xml:space="preserve">πληροφοριακής βάσης δεδομένων με την ονομασία «Εθνικό ηλεκτρονικό μελισσοκομικό μητρώο» και την καθιέρωση ατομικής μελισσοκομικής ταυτότητας που θα αντικαταστήσουν τις υφιστάμενες έντυπες μορφές του μελισσοκομικού μητρώου και του μελισσοκομικού βιβλιαρίου. Ειδικότερα: </w:t>
      </w:r>
    </w:p>
    <w:p w:rsidR="0002236B" w:rsidRPr="00687F57" w:rsidRDefault="0002236B" w:rsidP="0062075E">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 xml:space="preserve">Με την περ. α΄ της παρ. 1 αναπτύσσεται και λειτουργεί στο ΥΠΑΑΤ πληροφοριακή βάση δεδομένων με την ονομασία «Εθνικό ηλεκτρονικό μελισσοκομικό μητρώο». Με την ανάπτυξη και λειτουργία του εθνικού ηλεκτρονικού μελισσοκομικού μητρώου και την ψηφιακή καταγραφή και παρακολούθηση όλων των μελισσοκόμων και των μελισσιών της χώρας αντιμετωπίζονται σημαντικά θέματα που </w:t>
      </w:r>
      <w:r w:rsidR="00AE39D4" w:rsidRPr="00687F57">
        <w:rPr>
          <w:rFonts w:asciiTheme="minorHAnsi" w:hAnsiTheme="minorHAnsi" w:cstheme="minorHAnsi"/>
        </w:rPr>
        <w:t xml:space="preserve">προκαλούν </w:t>
      </w:r>
      <w:r w:rsidRPr="00687F57">
        <w:rPr>
          <w:rFonts w:asciiTheme="minorHAnsi" w:hAnsiTheme="minorHAnsi" w:cstheme="minorHAnsi"/>
        </w:rPr>
        <w:t xml:space="preserve">προβλήματα στον κλάδο της μελισσοκομίας, τα οποία μέχρι σήμερα προσεγγίζονται αποσπασματικά και με μη ενιαίο τρόπο σε όλη τη χώρα. Τα σημαντικότερα από αυτά είναι τα εξής: α) η καταγραφή κρουσμάτων προσβολής από ασθένειες και εχθρούς των μελισσών με σκοπό την πρόληψη και αποτελεσματική αντιμετώπισή τους, β) ο περιορισμός και η αντιμετώπιση κρουσμάτων κλοπής, γ) η παρακολούθηση της αγοράς του μελιού και όλων των μελισσοκομικών προϊόντων, δ) η εποπτεία των εισαγωγών μελιού και μελισσοκομικών προϊόντων, ε) η χαρτογράφηση και καταγραφή της παραγωγικότητας των μελισσοβοσκών της χώρας και ο εμπλουτισμός και η προστασία της μελισσοκομικής χλωρίδας, στ) ο προγραμματισμός των μετακινήσεων των μελισσιών των μελισσοκόμων που ασκούν νομαδική μελισσοκομία, ζ) η παρακολούθηση της εμπορίας και της εγχώριας διακίνησης του μελισσοκομικού κεφαλαίου και του μελισσοκομικού γενετικού υλικού της χώρας και η εποπτεία των εισαγωγών μελισσοκομικού κεφαλαίου και μελισσοκομικού γενετικού υλικού, η) η μελέτη, ο προγραμματισμός και η βελτίωση της επικονίασης της άγριας και της καλλιεργούμενης χλωρίδας, θ) η δημιουργία ενός συστήματος έγκαιρης και έγκυρης προειδοποίησης των μελισσοκόμων σε περιπτώσεις χρήσης βιοκτόνων, προς αποφυγή κρουσμάτων δηλητηριάσεων, ύστερα από εκτεταμένους ψεκασμούς και ι) η προώθηση προγραμμάτων ανάπτυξης και εν γένει η στήριξη του κλάδου της μελισσοκομίας. Επίσης, με την ανάπτυξη και λειτουργία του εθνικού ηλεκτρονικού μελισσοκομικού μητρώου, απλουστεύονται οι διαδικασίες συμμετοχής των ενδιαφερομένων μελισσοκόμων, για παράδειγμα, σε προγράμματα οικονομικών ενισχύσεων ή καταβολής αποζημιώσεων. </w:t>
      </w:r>
    </w:p>
    <w:p w:rsidR="0002236B" w:rsidRPr="00687F57" w:rsidRDefault="0002236B" w:rsidP="009414FD">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lastRenderedPageBreak/>
        <w:t xml:space="preserve">Με την περ. β΄ της παρ. 1 καθορίζεται ότι οι Διευθύνσεις Συστημάτων Εκτροφής Ζώων και Ηλεκτρονικής Διακυβέρνησης του ΥΠΑΑΤ είναι αρμόδιες για την ανάπτυξη και λειτουργία του εθνικού ηλεκτρονικού μελισσοκομικού μητρώου. Παράλληλα, καθορίζονται οι υπηρεσίες και οι φορείς, με τους οποίους οι ανωτέρω Διευθύνσεις πρέπει να συνεργαστούν για την επιτυχή ολοκλήρωση και υλοποίηση του εθνικού ηλεκτρονικού μελισσοκομικού μητρώου. </w:t>
      </w:r>
    </w:p>
    <w:p w:rsidR="0002236B" w:rsidRPr="00687F57" w:rsidRDefault="0002236B" w:rsidP="009414FD">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Στην παρ. 2 προβλέπεται η καθιέρωση ατομικής μελισσοκομικής ταυτότητας για όλους τους μελισσοκόμους ως μέσο ταυτοποίησης και διακρίβωσης - διασταύρωσης των πληροφοριών που εμπεριέχονται σε αυτήν. Στόχος είναι, κατά την πλήρη και ολοκληρωμένη (ηλεκτρονική - ψηφιακή) μορφή λειτουργίας της ατομικής μελισσοκομικής ταυτότητας, να υπάρχει άμεση διασύνδεση και επικοινωνία αυτής με το εθνικό ηλεκτρονικό μελισσοκομικό μητρώο, προκειμένου να πραγματοποιείται διασταύρωση στοιχείων και συνεχής ενημέρωσή της με τις πληροφορίες που καταγράφονται στο μητρώο.</w:t>
      </w:r>
    </w:p>
    <w:p w:rsidR="0002236B" w:rsidRPr="00687F57" w:rsidRDefault="0002236B" w:rsidP="009414FD">
      <w:pPr>
        <w:autoSpaceDE w:val="0"/>
        <w:autoSpaceDN w:val="0"/>
        <w:adjustRightInd w:val="0"/>
        <w:spacing w:line="360" w:lineRule="auto"/>
        <w:jc w:val="both"/>
        <w:rPr>
          <w:rFonts w:asciiTheme="minorHAnsi" w:hAnsiTheme="minorHAnsi" w:cstheme="minorHAnsi"/>
        </w:rPr>
      </w:pPr>
      <w:r w:rsidRPr="00687F57">
        <w:rPr>
          <w:rFonts w:asciiTheme="minorHAnsi" w:hAnsiTheme="minorHAnsi" w:cstheme="minorHAnsi"/>
        </w:rPr>
        <w:t>Στις παρ. 3 και 4 προβλέπονται, αντίστοιχα, οι απαραίτητες εξουσιοδοτήσεις προς τον Υπουργό Αγροτικής Ανάπτυξης και Τροφίμων για την πλήρη εφαρμογή της προτεινόμενης διάταξης, καθώς και μεταβατική διάταξη για την ομαλή μετάβαση από το παλιό στο νέο κανονιστικό καθεστώς.</w:t>
      </w:r>
    </w:p>
    <w:p w:rsidR="00DB2D7F" w:rsidRPr="00687F57" w:rsidRDefault="00DB2D7F" w:rsidP="001E0C0F">
      <w:pPr>
        <w:spacing w:line="360" w:lineRule="auto"/>
        <w:jc w:val="both"/>
        <w:rPr>
          <w:rFonts w:asciiTheme="minorHAnsi" w:hAnsiTheme="minorHAnsi" w:cstheme="minorHAnsi"/>
          <w:lang w:val="en-GB"/>
        </w:rPr>
      </w:pPr>
    </w:p>
    <w:p w:rsidR="00DB2D7F" w:rsidRPr="00687F57" w:rsidRDefault="00DB2D7F" w:rsidP="001E0C0F">
      <w:pPr>
        <w:spacing w:line="360" w:lineRule="auto"/>
        <w:jc w:val="both"/>
        <w:rPr>
          <w:rFonts w:asciiTheme="minorHAnsi" w:hAnsiTheme="minorHAnsi" w:cstheme="minorHAnsi"/>
          <w:b/>
          <w:bCs/>
        </w:rPr>
      </w:pPr>
      <w:r w:rsidRPr="00687F57">
        <w:rPr>
          <w:rFonts w:asciiTheme="minorHAnsi" w:hAnsiTheme="minorHAnsi" w:cstheme="minorHAnsi"/>
          <w:b/>
          <w:bCs/>
        </w:rPr>
        <w:t>Επί του άρθρου 10</w:t>
      </w:r>
    </w:p>
    <w:p w:rsidR="00DB2D7F" w:rsidRPr="00687F57" w:rsidRDefault="00DB2D7F" w:rsidP="00687F57">
      <w:pPr>
        <w:spacing w:line="360" w:lineRule="auto"/>
        <w:jc w:val="both"/>
        <w:rPr>
          <w:rFonts w:asciiTheme="minorHAnsi" w:hAnsiTheme="minorHAnsi" w:cstheme="minorHAnsi"/>
          <w:b/>
          <w:bCs/>
          <w:lang w:val="en-GB"/>
        </w:rPr>
      </w:pPr>
      <w:r w:rsidRPr="00687F57">
        <w:rPr>
          <w:rFonts w:asciiTheme="minorHAnsi" w:hAnsiTheme="minorHAnsi" w:cstheme="minorHAnsi"/>
          <w:b/>
          <w:bCs/>
        </w:rPr>
        <w:t>Έλεγχοι ζωικής παραγωγής</w:t>
      </w:r>
    </w:p>
    <w:p w:rsidR="00DB2D7F" w:rsidRPr="00687F57" w:rsidRDefault="00DB2D7F" w:rsidP="00DB2D7F">
      <w:pPr>
        <w:spacing w:line="360" w:lineRule="auto"/>
        <w:jc w:val="both"/>
        <w:rPr>
          <w:rFonts w:asciiTheme="minorHAnsi" w:hAnsiTheme="minorHAnsi" w:cstheme="minorHAnsi"/>
        </w:rPr>
      </w:pPr>
      <w:r w:rsidRPr="00687F57">
        <w:rPr>
          <w:rFonts w:asciiTheme="minorHAnsi" w:hAnsiTheme="minorHAnsi" w:cstheme="minorHAnsi"/>
        </w:rPr>
        <w:t xml:space="preserve">Με την παρ. 1 του προτεινόμενου άρθρου προβλέπεται η ένταξη των επιχειρήσεων παραγωγής και εμπορίας αβγών κατανάλωσης στην ενιαία βάση δεδομένων «ΑΡΤΕΜΙΣ» για την επίτευξη του αποτελεσματικού ελέγχου ισοζυγίων, ιχνηλασιμότητας και αντιμετώπισης των αθέμιτων πρακτικών και ιδίως των ελληνοποιήσεων. Ειδικότερα, με την προτεινόμενη προσθήκη προβλέπεται η επέκταση των αρμοδιοτήτων του ΕΛΓΟ ΔΗΜΗΤΡΑ στον έλεγχο των ενωσιακών προτύπων εμπορίας και διακίνησης των αβγών με τη χρήση ισοζυγίων. </w:t>
      </w:r>
    </w:p>
    <w:p w:rsidR="00DB2D7F" w:rsidRPr="00687F57" w:rsidRDefault="00DB2D7F" w:rsidP="00DB2D7F">
      <w:pPr>
        <w:spacing w:line="360" w:lineRule="auto"/>
        <w:jc w:val="both"/>
        <w:rPr>
          <w:rFonts w:asciiTheme="minorHAnsi" w:hAnsiTheme="minorHAnsi" w:cstheme="minorHAnsi"/>
        </w:rPr>
      </w:pPr>
      <w:r w:rsidRPr="00687F57">
        <w:rPr>
          <w:rFonts w:asciiTheme="minorHAnsi" w:hAnsiTheme="minorHAnsi" w:cstheme="minorHAnsi"/>
        </w:rPr>
        <w:t xml:space="preserve">Με την παρ. 2 του προτεινόμενου άρθρου χορηγείται εξουσιοδότηση στον Υπουργό Αγροτικής Ανάπτυξης και Τροφίμων για την έκδοση απόφασης καθορισμού των υποχρεώσεων των παραγωγών και των εμπόρων αβγών κατανάλωσης, της διαδικτυακής διασύνδεσης των επιχειρήσεων παραγωγής, συλλογής/συσκευασίας </w:t>
      </w:r>
      <w:r w:rsidRPr="00687F57">
        <w:rPr>
          <w:rFonts w:asciiTheme="minorHAnsi" w:hAnsiTheme="minorHAnsi" w:cstheme="minorHAnsi"/>
        </w:rPr>
        <w:lastRenderedPageBreak/>
        <w:t xml:space="preserve">και εμπορίας αβγών στην εφαρμογή «ΑΡΤΕΜΙΣ», των διενεργούμενων ελέγχων τήρησης των υποχρεώσεων, των διοικητικών κυρώσεων σε περίπτωση μη συμμόρφωσης και της διαδικασίας επιβολής τους, της σύστασης και συγκρότησης συλλογικού οργάνου επιβολής κυρώσεων ή/και εξέτασης ενστάσεων κατά αποφάσεων επιβολής κυρώσεων, καθώς και κάθε άλλο θέμα σχετικό με τον έλεγχο της αγοράς αβγών κατανάλωσης, των θεμιτών εμπορικών πρακτικών, της ιχνηλασιμότητας και της παραπλάνησης του καταναλωτή.  </w:t>
      </w:r>
    </w:p>
    <w:p w:rsidR="00DB2D7F" w:rsidRPr="00687F57" w:rsidRDefault="00DB2D7F" w:rsidP="001E0C0F">
      <w:pPr>
        <w:spacing w:line="360" w:lineRule="auto"/>
        <w:jc w:val="both"/>
        <w:rPr>
          <w:rFonts w:asciiTheme="minorHAnsi" w:hAnsiTheme="minorHAnsi" w:cstheme="minorHAnsi"/>
          <w:b/>
          <w:lang w:val="en-GB"/>
        </w:rPr>
      </w:pPr>
    </w:p>
    <w:p w:rsidR="0002236B" w:rsidRPr="00687F57" w:rsidRDefault="0002236B" w:rsidP="001E0C0F">
      <w:pPr>
        <w:spacing w:line="360" w:lineRule="auto"/>
        <w:jc w:val="both"/>
        <w:rPr>
          <w:rFonts w:asciiTheme="minorHAnsi" w:hAnsiTheme="minorHAnsi" w:cstheme="minorHAnsi"/>
          <w:b/>
        </w:rPr>
      </w:pPr>
      <w:r w:rsidRPr="00687F57">
        <w:rPr>
          <w:rFonts w:asciiTheme="minorHAnsi" w:hAnsiTheme="minorHAnsi" w:cstheme="minorHAnsi"/>
          <w:b/>
        </w:rPr>
        <w:t xml:space="preserve">ΚΕΦΑΛΑΙΟ Γ΄ </w:t>
      </w:r>
    </w:p>
    <w:p w:rsidR="0002236B" w:rsidRPr="00687F57" w:rsidRDefault="0002236B" w:rsidP="001E0C0F">
      <w:pPr>
        <w:spacing w:line="360" w:lineRule="auto"/>
        <w:jc w:val="both"/>
        <w:rPr>
          <w:rFonts w:asciiTheme="minorHAnsi" w:hAnsiTheme="minorHAnsi" w:cstheme="minorHAnsi"/>
          <w:b/>
        </w:rPr>
      </w:pPr>
      <w:r w:rsidRPr="00687F57">
        <w:rPr>
          <w:rFonts w:asciiTheme="minorHAnsi" w:hAnsiTheme="minorHAnsi" w:cstheme="minorHAnsi"/>
          <w:b/>
        </w:rPr>
        <w:t>ΡΥΘΜΙΣΕΙΣ ΘΕΜΑΤΩΝ ΑΛΙΕΙΑΣ – ΥΔΑΤΟΚΑΛΛΙΕΡΓΕΙΩΝ</w:t>
      </w:r>
    </w:p>
    <w:p w:rsidR="0002236B" w:rsidRPr="00687F57" w:rsidRDefault="0002236B" w:rsidP="001E0C0F">
      <w:pPr>
        <w:spacing w:line="360" w:lineRule="auto"/>
        <w:jc w:val="both"/>
        <w:rPr>
          <w:rFonts w:asciiTheme="minorHAnsi" w:hAnsiTheme="minorHAnsi" w:cstheme="minorHAnsi"/>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D74166" w:rsidRPr="00687F57">
        <w:rPr>
          <w:rFonts w:asciiTheme="minorHAnsi" w:hAnsiTheme="minorHAnsi" w:cstheme="minorHAnsi"/>
          <w:b/>
          <w:bCs/>
        </w:rPr>
        <w:t>1</w:t>
      </w:r>
    </w:p>
    <w:p w:rsidR="0002236B" w:rsidRPr="00687F57" w:rsidRDefault="0002236B" w:rsidP="00687F57">
      <w:pPr>
        <w:autoSpaceDE w:val="0"/>
        <w:autoSpaceDN w:val="0"/>
        <w:adjustRightInd w:val="0"/>
        <w:spacing w:line="360" w:lineRule="auto"/>
        <w:rPr>
          <w:rFonts w:asciiTheme="minorHAnsi" w:hAnsiTheme="minorHAnsi" w:cstheme="minorHAnsi"/>
          <w:b/>
          <w:bCs/>
          <w:color w:val="000000"/>
          <w:lang w:val="en-GB"/>
        </w:rPr>
      </w:pPr>
      <w:r w:rsidRPr="00687F57">
        <w:rPr>
          <w:rFonts w:asciiTheme="minorHAnsi" w:hAnsiTheme="minorHAnsi" w:cstheme="minorHAnsi"/>
          <w:b/>
          <w:bCs/>
          <w:color w:val="000000"/>
        </w:rPr>
        <w:t>Αλιευτικές ρυθμίσεις</w:t>
      </w:r>
    </w:p>
    <w:p w:rsidR="0002236B" w:rsidRPr="00687F57" w:rsidRDefault="0002236B" w:rsidP="00FE5E50">
      <w:pPr>
        <w:spacing w:line="360" w:lineRule="auto"/>
        <w:jc w:val="both"/>
        <w:rPr>
          <w:rFonts w:asciiTheme="minorHAnsi" w:hAnsiTheme="minorHAnsi" w:cstheme="minorHAnsi"/>
          <w:color w:val="000000"/>
        </w:rPr>
      </w:pPr>
      <w:r w:rsidRPr="00687F57">
        <w:rPr>
          <w:rFonts w:asciiTheme="minorHAnsi" w:hAnsiTheme="minorHAnsi" w:cstheme="minorHAnsi"/>
          <w:color w:val="000000"/>
        </w:rPr>
        <w:t>1. Με την παρ. 5 του άρθρου 10 του ν</w:t>
      </w:r>
      <w:r w:rsidR="004A5851" w:rsidRPr="00687F57">
        <w:rPr>
          <w:rFonts w:asciiTheme="minorHAnsi" w:hAnsiTheme="minorHAnsi" w:cstheme="minorHAnsi"/>
          <w:color w:val="000000"/>
        </w:rPr>
        <w:t>.</w:t>
      </w:r>
      <w:r w:rsidRPr="00687F57">
        <w:rPr>
          <w:rFonts w:asciiTheme="minorHAnsi" w:hAnsiTheme="minorHAnsi" w:cstheme="minorHAnsi"/>
          <w:color w:val="000000"/>
        </w:rPr>
        <w:t>δ</w:t>
      </w:r>
      <w:r w:rsidR="004A5851" w:rsidRPr="00687F57">
        <w:rPr>
          <w:rFonts w:asciiTheme="minorHAnsi" w:hAnsiTheme="minorHAnsi" w:cstheme="minorHAnsi"/>
          <w:color w:val="000000"/>
        </w:rPr>
        <w:t>.</w:t>
      </w:r>
      <w:r w:rsidRPr="00687F57">
        <w:rPr>
          <w:rFonts w:asciiTheme="minorHAnsi" w:hAnsiTheme="minorHAnsi" w:cstheme="minorHAnsi"/>
          <w:color w:val="000000"/>
        </w:rPr>
        <w:t xml:space="preserve"> 420/1970, ήδη ορίζεται ότι αν υπάρχει κίνδυνος μείωσης ή καταστροφής των ιχθυοαποθεμάτων και ιδι</w:t>
      </w:r>
      <w:r w:rsidR="002A29AB">
        <w:rPr>
          <w:rFonts w:asciiTheme="minorHAnsi" w:hAnsiTheme="minorHAnsi" w:cstheme="minorHAnsi"/>
          <w:color w:val="000000"/>
        </w:rPr>
        <w:t xml:space="preserve">αίτερα του γόνου των ψαριών, ή </w:t>
      </w:r>
      <w:r w:rsidRPr="00687F57">
        <w:rPr>
          <w:rFonts w:asciiTheme="minorHAnsi" w:hAnsiTheme="minorHAnsi" w:cstheme="minorHAnsi"/>
          <w:color w:val="000000"/>
        </w:rPr>
        <w:t>άλλων υδρόβιων οργανισμών ή κίνδυνος γενικότερης διαταραχής του υδάτινου οικολογικού συστήματος ή για λόγους ρύθμισης της αλιείας, μπορεί με αποφάσεις του Υπουργού Αγροτικής Ανάπτυξης και Τροφίμων, που εκδίδονται ύστερα από γνώμη του Συμβουλίου Αλιείας και δημοσιεύονται στην Εφημερίδα της Κυβερνήσεως, να επιβάλλονται για χρονική περίοδο μέχρι ένα έτος ειδικά ή πρόσθετα περιοριστικά της αλιείας μέτρα. Με τις αποφάσεις αυτές μπορεί να απαγορευθεί η αλιεία σε ορισμένη απόσταση από τις ακτές ή σε ορισμένο βάθος υδάτων, με ορισμένους τύπους σκαφών ή ορισμένα εργαλεία, ή η αλιεία ορισμένων ειδών, μεγεθών και ποσοτήτων αλιευμάτων σε μια ή περισσότερες θαλάσσιες λιμνοθαλάσσιες, λίμνιες και ποτάμιες περιοχές.</w:t>
      </w:r>
    </w:p>
    <w:p w:rsidR="0002236B" w:rsidRPr="00687F57" w:rsidRDefault="0002236B" w:rsidP="00FE5E50">
      <w:pPr>
        <w:spacing w:line="360" w:lineRule="auto"/>
        <w:jc w:val="both"/>
        <w:rPr>
          <w:rFonts w:asciiTheme="minorHAnsi" w:hAnsiTheme="minorHAnsi" w:cstheme="minorHAnsi"/>
          <w:color w:val="000000"/>
        </w:rPr>
      </w:pPr>
      <w:r w:rsidRPr="00687F57">
        <w:rPr>
          <w:rFonts w:asciiTheme="minorHAnsi" w:hAnsiTheme="minorHAnsi" w:cstheme="minorHAnsi"/>
          <w:color w:val="000000"/>
        </w:rPr>
        <w:t>Προκειμένου να δίνεται χρόνος στη διοίκηση να ολοκληρώνει τις διαδικασίες, πριν τη λήξη ισχύος των μέτρων που λαμβάνονται</w:t>
      </w:r>
      <w:r w:rsidR="004A5851" w:rsidRPr="00687F57">
        <w:rPr>
          <w:rFonts w:asciiTheme="minorHAnsi" w:hAnsiTheme="minorHAnsi" w:cstheme="minorHAnsi"/>
          <w:color w:val="000000"/>
        </w:rPr>
        <w:t>,</w:t>
      </w:r>
      <w:r w:rsidRPr="00687F57">
        <w:rPr>
          <w:rFonts w:asciiTheme="minorHAnsi" w:hAnsiTheme="minorHAnsi" w:cstheme="minorHAnsi"/>
          <w:color w:val="000000"/>
        </w:rPr>
        <w:t xml:space="preserve"> αλλά και για να υπάρχει ικανό χρονικό διάστημα να δοκιμάζονται τα επιβαλλόμενα </w:t>
      </w:r>
      <w:r w:rsidR="002A29AB">
        <w:rPr>
          <w:rFonts w:asciiTheme="minorHAnsi" w:hAnsiTheme="minorHAnsi" w:cstheme="minorHAnsi"/>
          <w:color w:val="000000"/>
        </w:rPr>
        <w:t xml:space="preserve">μέτρα, να συλλέγονται στοιχεία </w:t>
      </w:r>
      <w:r w:rsidRPr="00687F57">
        <w:rPr>
          <w:rFonts w:asciiTheme="minorHAnsi" w:hAnsiTheme="minorHAnsi" w:cstheme="minorHAnsi"/>
          <w:color w:val="000000"/>
        </w:rPr>
        <w:t>και να γίνονται διορθώσεις ή συμπληρώσεις, όπου κρίν</w:t>
      </w:r>
      <w:r w:rsidR="002A29AB">
        <w:rPr>
          <w:rFonts w:asciiTheme="minorHAnsi" w:hAnsiTheme="minorHAnsi" w:cstheme="minorHAnsi"/>
          <w:color w:val="000000"/>
        </w:rPr>
        <w:t xml:space="preserve">εται απαραίτητο, προτείνεται η </w:t>
      </w:r>
      <w:r w:rsidRPr="00687F57">
        <w:rPr>
          <w:rFonts w:asciiTheme="minorHAnsi" w:hAnsiTheme="minorHAnsi" w:cstheme="minorHAnsi"/>
          <w:color w:val="000000"/>
        </w:rPr>
        <w:t>τροποποίηση του άρθρου 10 του ν</w:t>
      </w:r>
      <w:r w:rsidR="004A5851" w:rsidRPr="00687F57">
        <w:rPr>
          <w:rFonts w:asciiTheme="minorHAnsi" w:hAnsiTheme="minorHAnsi" w:cstheme="minorHAnsi"/>
          <w:color w:val="000000"/>
        </w:rPr>
        <w:t>.</w:t>
      </w:r>
      <w:r w:rsidRPr="00687F57">
        <w:rPr>
          <w:rFonts w:asciiTheme="minorHAnsi" w:hAnsiTheme="minorHAnsi" w:cstheme="minorHAnsi"/>
          <w:color w:val="000000"/>
        </w:rPr>
        <w:t>δ</w:t>
      </w:r>
      <w:r w:rsidR="004A5851" w:rsidRPr="00687F57">
        <w:rPr>
          <w:rFonts w:asciiTheme="minorHAnsi" w:hAnsiTheme="minorHAnsi" w:cstheme="minorHAnsi"/>
          <w:color w:val="000000"/>
        </w:rPr>
        <w:t>.</w:t>
      </w:r>
      <w:r w:rsidR="002A29AB">
        <w:rPr>
          <w:rFonts w:asciiTheme="minorHAnsi" w:hAnsiTheme="minorHAnsi" w:cstheme="minorHAnsi"/>
          <w:color w:val="000000"/>
        </w:rPr>
        <w:t xml:space="preserve"> </w:t>
      </w:r>
      <w:r w:rsidRPr="00687F57">
        <w:rPr>
          <w:rFonts w:asciiTheme="minorHAnsi" w:hAnsiTheme="minorHAnsi" w:cstheme="minorHAnsi"/>
          <w:color w:val="000000"/>
        </w:rPr>
        <w:t>420/1970 με την πρόβλεψη για τη δυνατότητα παράτασης για ένα ακόμη έτος των μέτρων που λαμβάνονται με τις αποφάσεις αυτές.</w:t>
      </w:r>
    </w:p>
    <w:p w:rsidR="0002236B" w:rsidRPr="00687F57" w:rsidRDefault="0002236B" w:rsidP="00B33500">
      <w:pPr>
        <w:spacing w:line="360" w:lineRule="auto"/>
        <w:jc w:val="both"/>
        <w:rPr>
          <w:rFonts w:asciiTheme="minorHAnsi" w:hAnsiTheme="minorHAnsi" w:cstheme="minorHAnsi"/>
          <w:color w:val="000000"/>
        </w:rPr>
      </w:pPr>
      <w:r w:rsidRPr="00687F57">
        <w:rPr>
          <w:rFonts w:asciiTheme="minorHAnsi" w:hAnsiTheme="minorHAnsi" w:cstheme="minorHAnsi"/>
          <w:color w:val="000000"/>
        </w:rPr>
        <w:lastRenderedPageBreak/>
        <w:t>2. Με τις περ. α΄ και β΄ της παρ. 2 του προτεινόμενου άρθρου τροποποιείται η παρ. 5 του άρθρου 14 του ν.δ. 420/1970 (Α΄27), όπως η παράγραφος αυτή προστέθηκε με την παρ. 1 του άρθρου 59 του ν. 4235/2014 (Α΄ 32) και αντικαταστάθηκε με την παρ. 2 του άρθρου 32 του ν. 4597/2019 (Α΄ 35), προκειμένου να αντιμετωπιστούν ορισμένα προβλήματα εφαρμογής της ρύθμισης περί δυνατότητας διαγραφής ή μετατροπής κυρώσεω</w:t>
      </w:r>
      <w:r w:rsidR="004A5851" w:rsidRPr="00687F57">
        <w:rPr>
          <w:rFonts w:asciiTheme="minorHAnsi" w:hAnsiTheme="minorHAnsi" w:cstheme="minorHAnsi"/>
          <w:color w:val="000000"/>
        </w:rPr>
        <w:t>ν</w:t>
      </w:r>
      <w:r w:rsidRPr="00687F57">
        <w:rPr>
          <w:rFonts w:asciiTheme="minorHAnsi" w:hAnsiTheme="minorHAnsi" w:cstheme="minorHAnsi"/>
          <w:color w:val="000000"/>
        </w:rPr>
        <w:t xml:space="preserve"> που έχουν επιβληθεί για παραβάσεις της αλιευτικής νομοθεσίας και επί των οποίων εκκρεμεί εξέταση προσφυγών της παρ. 1 του άρθρου 14 του ν.δ. 420/1970 και να εξασφαλισθεί η ίση μεταχείριση όμοιων περιπτώσεων.  Ειδικότερα,  προτείνεται να δοθεί η δυνατότητα υποβολής αιτήσεων διαγραφής της διοικητικής κύρωσης της αφαίρεσης άδειας επαγγελματικού αλιευτικού σκάφους, η οποία επιβλήθηκε με απόφαση που εκδόθηκε πριν την 31</w:t>
      </w:r>
      <w:r w:rsidR="004A5851" w:rsidRPr="00687F57">
        <w:rPr>
          <w:rFonts w:asciiTheme="minorHAnsi" w:hAnsiTheme="minorHAnsi" w:cstheme="minorHAnsi"/>
          <w:color w:val="000000"/>
        </w:rPr>
        <w:t>η</w:t>
      </w:r>
      <w:r w:rsidRPr="00687F57">
        <w:rPr>
          <w:rFonts w:asciiTheme="minorHAnsi" w:hAnsiTheme="minorHAnsi" w:cstheme="minorHAnsi"/>
          <w:color w:val="000000"/>
        </w:rPr>
        <w:t xml:space="preserve">.12.2014, εφόσον έχει καταβληθεί από τον πλοιοκτήτη το επιβληθέν χρηματικό πρόστιμο ή το οφειλόμενο ποσό του χρηματικού προστίμου έχει υπαχθεί από τον πλοιοκτήτη σε ρύθμιση, καθώς με την ισχύουσα διάταξη της περ. β΄ της παρ. 5 του άρθρου 14 του ν.δ. 420/1970 δεν προβλέπεται μετατροπή των ημερών αφαίρεσης της άδειας σε χρηματικά πρόστιμα ανάλογα με τα οριζόμενα στην περ. ε΄ της παρ. 5 του ν.δ. 420/1970, που αφορά το ίδιο είδος κυρώσεων που επιβλήθηκαν μετά τις 31.12.2014, ενώ στην περ. γ΄ της παρ. 5 του ίδιου άρθρου προβλέπεται, όσον αφορά το ίδιο είδος κυρώσεων που επιβλήθηκαν ως τις 31.12.2004 η δυνατότητα υποβολής αίτησης διαγραφής όλων των ημερών αφαίρεσης της άδειας σκάφους χωρίς μετατροπή σε χρηματικό πρόστιμο. </w:t>
      </w:r>
    </w:p>
    <w:p w:rsidR="0002236B" w:rsidRPr="00687F57" w:rsidRDefault="0002236B" w:rsidP="00B33500">
      <w:pPr>
        <w:spacing w:line="360" w:lineRule="auto"/>
        <w:jc w:val="both"/>
        <w:rPr>
          <w:rFonts w:asciiTheme="minorHAnsi" w:hAnsiTheme="minorHAnsi" w:cstheme="minorHAnsi"/>
          <w:color w:val="000000"/>
        </w:rPr>
      </w:pPr>
      <w:r w:rsidRPr="00687F57">
        <w:rPr>
          <w:rFonts w:asciiTheme="minorHAnsi" w:hAnsiTheme="minorHAnsi" w:cstheme="minorHAnsi"/>
          <w:color w:val="000000"/>
        </w:rPr>
        <w:t>Με την περ. γ΄ της προτεινόμενης παρ. 2 προστίθεται εδάφιο στο τέλος της παρ. 8 του άρθρου 14 του ν.δ. 420/1970</w:t>
      </w:r>
      <w:r w:rsidR="004A5851" w:rsidRPr="00687F57">
        <w:rPr>
          <w:rFonts w:asciiTheme="minorHAnsi" w:hAnsiTheme="minorHAnsi" w:cstheme="minorHAnsi"/>
          <w:color w:val="000000"/>
        </w:rPr>
        <w:t>,</w:t>
      </w:r>
      <w:r w:rsidRPr="00687F57">
        <w:rPr>
          <w:rFonts w:asciiTheme="minorHAnsi" w:hAnsiTheme="minorHAnsi" w:cstheme="minorHAnsi"/>
          <w:color w:val="000000"/>
        </w:rPr>
        <w:t xml:space="preserve"> προκειμένου να δοθεί εξουσιοδότηση στους αρμόδιους Υπουργούς για τη ρύθμιση  ειδικότερων θεμάτων που σχετίζονται με τη διαδικασία παρακολούθησης αποπληρωμής, καθώς και βεβαίωσης και είσπραξης των χρηματικών προστίμων που προβλέπονται στην παράγραφο 5 του</w:t>
      </w:r>
      <w:r w:rsidR="004A5851" w:rsidRPr="00687F57">
        <w:rPr>
          <w:rFonts w:asciiTheme="minorHAnsi" w:hAnsiTheme="minorHAnsi" w:cstheme="minorHAnsi"/>
          <w:color w:val="000000"/>
        </w:rPr>
        <w:t xml:space="preserve"> άρθρου 14 του</w:t>
      </w:r>
      <w:r w:rsidRPr="00687F57">
        <w:rPr>
          <w:rFonts w:asciiTheme="minorHAnsi" w:hAnsiTheme="minorHAnsi" w:cstheme="minorHAnsi"/>
          <w:color w:val="000000"/>
        </w:rPr>
        <w:t xml:space="preserve"> ν.δ. 420/1970.  </w:t>
      </w:r>
    </w:p>
    <w:p w:rsidR="0002236B" w:rsidRPr="00687F57" w:rsidRDefault="0002236B" w:rsidP="006F7A05">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3. Με την περ. α΄ της προτεινόμενης παρ. 3 τροποποιείται η περ. β΄ της παρ. 3 του άρθρου 11 του από 23-3/8-4-1953 βασιλικού διατάγματος «Περί κανονισμού της διά κυκλικών δικτύων (γρί-γρί) αλιείας» (Α΄ 81), όπως το άρθρο 11 είχε αντικατασταθεί με το άρθρο 1 του π.δ. 224/1991 (Α΄ 93) και αντικαταστάθηκε με την παρ. 1 του άρθρου μόνου του π.δ. 25/1993 (Α΄ 9). </w:t>
      </w:r>
    </w:p>
    <w:p w:rsidR="0002236B" w:rsidRPr="00687F57" w:rsidRDefault="0002236B" w:rsidP="006F7A05">
      <w:pPr>
        <w:spacing w:line="360" w:lineRule="auto"/>
        <w:jc w:val="both"/>
        <w:rPr>
          <w:rFonts w:asciiTheme="minorHAnsi" w:hAnsiTheme="minorHAnsi" w:cstheme="minorHAnsi"/>
          <w:color w:val="000000"/>
        </w:rPr>
      </w:pPr>
      <w:r w:rsidRPr="00687F57">
        <w:rPr>
          <w:rFonts w:asciiTheme="minorHAnsi" w:hAnsiTheme="minorHAnsi" w:cstheme="minorHAnsi"/>
          <w:color w:val="000000"/>
        </w:rPr>
        <w:lastRenderedPageBreak/>
        <w:t xml:space="preserve">Στην εν λόγω διάταξη προβλέπεται η απαγόρευση της αλιείας με κυκλικά δίκτυα (γρι γρι) νύχτας κατά την πανσέληνο, δυο ημέρες πριν και δύο μετά, με εξαίρεση τις περιοχές του Σαρωνικού και της Κρήτης όπου η απαγόρευση ισχύει για όλα τα Σάββατα του μήνα και την επόμενη της πανσελήνου Κυριακή. </w:t>
      </w:r>
    </w:p>
    <w:p w:rsidR="0002236B" w:rsidRPr="00687F57" w:rsidRDefault="0002236B" w:rsidP="006F7A05">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Συνεπώς υπάρχει διαφορετική ρύθμιση της λειτουργίας του </w:t>
      </w:r>
      <w:r w:rsidR="004A5851" w:rsidRPr="00687F57">
        <w:rPr>
          <w:rFonts w:asciiTheme="minorHAnsi" w:hAnsiTheme="minorHAnsi" w:cstheme="minorHAnsi"/>
          <w:color w:val="000000"/>
        </w:rPr>
        <w:t xml:space="preserve">ίδιου εργαλείου </w:t>
      </w:r>
      <w:r w:rsidRPr="00687F57">
        <w:rPr>
          <w:rFonts w:asciiTheme="minorHAnsi" w:hAnsiTheme="minorHAnsi" w:cstheme="minorHAnsi"/>
          <w:color w:val="000000"/>
        </w:rPr>
        <w:t xml:space="preserve">σε διαφορετικές περιοχές της Χώρας. </w:t>
      </w:r>
    </w:p>
    <w:p w:rsidR="0002236B" w:rsidRPr="00687F57" w:rsidRDefault="0002236B" w:rsidP="006F7A05">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Με την προτεινόμενη διάταξη επιχειρείται η υιοθέτηση της απαγόρευσης αλιείας με κυκλικά δίκτυα (γρι γρι) νύχτας όλες τις ημέρες του Σαββάτου και την επόμενη της πανσελήνου Κυριακή ενιαία για όλες τις περιοχές της Χώρας, εξασφαλίζοντας έτσι την ομοιόμορφη ρύθμιση της λειτουργίας του ανωτέρω αλιευτικού εργαλείου πανελλαδικά. </w:t>
      </w:r>
    </w:p>
    <w:p w:rsidR="0002236B" w:rsidRPr="00687F57" w:rsidRDefault="0002236B" w:rsidP="006F7A05">
      <w:pPr>
        <w:spacing w:line="360" w:lineRule="auto"/>
        <w:jc w:val="both"/>
        <w:rPr>
          <w:rFonts w:asciiTheme="minorHAnsi" w:hAnsiTheme="minorHAnsi" w:cstheme="minorHAnsi"/>
          <w:color w:val="000000"/>
        </w:rPr>
      </w:pPr>
      <w:r w:rsidRPr="00687F57">
        <w:rPr>
          <w:rFonts w:asciiTheme="minorHAnsi" w:hAnsiTheme="minorHAnsi" w:cstheme="minorHAnsi"/>
          <w:color w:val="000000"/>
        </w:rPr>
        <w:t>Επιπλέον, από έρευνα που πραγματοποιήθηκε, διαπιστώθηκε ότι οι ημέρες παύσης της αλιευτική</w:t>
      </w:r>
      <w:r w:rsidR="00A24DFD" w:rsidRPr="00687F57">
        <w:rPr>
          <w:rFonts w:asciiTheme="minorHAnsi" w:hAnsiTheme="minorHAnsi" w:cstheme="minorHAnsi"/>
          <w:color w:val="000000"/>
        </w:rPr>
        <w:t>ς</w:t>
      </w:r>
      <w:r w:rsidRPr="00687F57">
        <w:rPr>
          <w:rFonts w:asciiTheme="minorHAnsi" w:hAnsiTheme="minorHAnsi" w:cstheme="minorHAnsi"/>
          <w:color w:val="000000"/>
        </w:rPr>
        <w:t xml:space="preserve"> δραστηριότητας με την προτεινόμενη τροποποίηση από 1/3 έως 14/12 είναι, ανάλογα με το έτος, από 50 έως 52, ενώ με την ισχύουσα απαγόρευση κατά τις ημέρες της πανσελήνου είναι 45 ή 50.</w:t>
      </w:r>
    </w:p>
    <w:p w:rsidR="0002236B" w:rsidRPr="00687F57" w:rsidRDefault="0002236B" w:rsidP="006F7A05">
      <w:pPr>
        <w:spacing w:line="360" w:lineRule="auto"/>
        <w:jc w:val="both"/>
        <w:rPr>
          <w:rFonts w:asciiTheme="minorHAnsi" w:hAnsiTheme="minorHAnsi" w:cstheme="minorHAnsi"/>
          <w:color w:val="000000"/>
        </w:rPr>
      </w:pPr>
      <w:r w:rsidRPr="00687F57">
        <w:rPr>
          <w:rFonts w:asciiTheme="minorHAnsi" w:hAnsiTheme="minorHAnsi" w:cstheme="minorHAnsi"/>
          <w:color w:val="000000"/>
        </w:rPr>
        <w:t>Κατά συνέπεια, εφόσον με την προτεινόμενη διάταξη οι ημέρες παύσης της αλιευτικής δραστηριότητας αυξάνονται, αυτή συμβάλλει θετικά στη βιώσιμη διαχείριση των αποθεμάτων με καλύτερη αξιοποίηση των αλιευμάτων.</w:t>
      </w:r>
    </w:p>
    <w:p w:rsidR="0002236B" w:rsidRPr="00687F57" w:rsidRDefault="0002236B" w:rsidP="001E72E3">
      <w:pPr>
        <w:spacing w:line="360" w:lineRule="auto"/>
        <w:jc w:val="both"/>
        <w:rPr>
          <w:rFonts w:asciiTheme="minorHAnsi" w:hAnsiTheme="minorHAnsi" w:cstheme="minorHAnsi"/>
          <w:color w:val="000000"/>
        </w:rPr>
      </w:pPr>
      <w:r w:rsidRPr="00687F57">
        <w:rPr>
          <w:rFonts w:asciiTheme="minorHAnsi" w:hAnsiTheme="minorHAnsi" w:cstheme="minorHAnsi"/>
          <w:color w:val="000000"/>
        </w:rPr>
        <w:t>Με την περ. β΄ της προτεινόμενης παρ. 3 προστίθεται άρθρο 15α στο από 23-3/8-4-1953 β.δ., προκειμένου να προσδιορισθεί ρητά η έννοια της αλιευτικής δραστηριότητας με το αλιευτικό εργαλείο κυκλικά δίκτυα (γρι γρι). Ειδικότερα:</w:t>
      </w:r>
    </w:p>
    <w:p w:rsidR="0002236B" w:rsidRPr="00687F57" w:rsidRDefault="0002236B" w:rsidP="001E72E3">
      <w:pPr>
        <w:spacing w:line="360" w:lineRule="auto"/>
        <w:jc w:val="both"/>
        <w:rPr>
          <w:rFonts w:asciiTheme="minorHAnsi" w:hAnsiTheme="minorHAnsi" w:cstheme="minorHAnsi"/>
          <w:color w:val="000000"/>
        </w:rPr>
      </w:pPr>
      <w:r w:rsidRPr="00687F57">
        <w:rPr>
          <w:rFonts w:asciiTheme="minorHAnsi" w:hAnsiTheme="minorHAnsi" w:cstheme="minorHAnsi"/>
          <w:color w:val="000000"/>
        </w:rPr>
        <w:t>Πέρα από τις απαγορεύσεις αλιείας με κυκλικά δίκτυα (γρι γρι) που προβλέπονται στο από 23-3/8-4-1953 β.δ., σε διατάξεις της εθνικής και ενωσιακής αλιευτικής νομοθεσίας προβλέπονται πρόσθετες απαγορεύσεις σε ό</w:t>
      </w:r>
      <w:r w:rsidR="00A24DFD" w:rsidRPr="00687F57">
        <w:rPr>
          <w:rFonts w:asciiTheme="minorHAnsi" w:hAnsiTheme="minorHAnsi" w:cstheme="minorHAnsi"/>
          <w:color w:val="000000"/>
        </w:rPr>
        <w:t>,</w:t>
      </w:r>
      <w:r w:rsidRPr="00687F57">
        <w:rPr>
          <w:rFonts w:asciiTheme="minorHAnsi" w:hAnsiTheme="minorHAnsi" w:cstheme="minorHAnsi"/>
          <w:color w:val="000000"/>
        </w:rPr>
        <w:t xml:space="preserve">τι αφορά την ελάχιστη απόσταση από την ακτή και το ελάχιστο βάθος, όπου </w:t>
      </w:r>
      <w:r w:rsidR="00A24DFD" w:rsidRPr="00687F57">
        <w:rPr>
          <w:rFonts w:asciiTheme="minorHAnsi" w:hAnsiTheme="minorHAnsi" w:cstheme="minorHAnsi"/>
          <w:color w:val="000000"/>
        </w:rPr>
        <w:t xml:space="preserve">επιτρέπεται να αλιεύουν </w:t>
      </w:r>
      <w:r w:rsidRPr="00687F57">
        <w:rPr>
          <w:rFonts w:asciiTheme="minorHAnsi" w:hAnsiTheme="minorHAnsi" w:cstheme="minorHAnsi"/>
          <w:color w:val="000000"/>
        </w:rPr>
        <w:t xml:space="preserve">τα αλιευτικά σκάφη με κυκλικά δίχτυα (γρι γρι). </w:t>
      </w:r>
    </w:p>
    <w:p w:rsidR="0002236B" w:rsidRPr="00687F57" w:rsidRDefault="0002236B" w:rsidP="001E72E3">
      <w:pPr>
        <w:pStyle w:val="title-doc-first"/>
        <w:spacing w:before="0" w:beforeAutospacing="0" w:after="0" w:afterAutospacing="0" w:line="360" w:lineRule="auto"/>
        <w:jc w:val="both"/>
        <w:rPr>
          <w:rFonts w:asciiTheme="minorHAnsi" w:hAnsiTheme="minorHAnsi" w:cstheme="minorHAnsi"/>
          <w:color w:val="000000"/>
        </w:rPr>
      </w:pPr>
      <w:r w:rsidRPr="00687F57">
        <w:rPr>
          <w:rFonts w:asciiTheme="minorHAnsi" w:hAnsiTheme="minorHAnsi" w:cstheme="minorHAnsi"/>
          <w:color w:val="000000"/>
        </w:rPr>
        <w:t>Επιπλέον, σύμφωνα με την παρ. 11 του άρθρου 2 του εκτελεστικού κανονισμού (ΕΕ) αριθ. 404/2011 της Επιτροπής της 8ης Απριλίου 2011 «</w:t>
      </w:r>
      <w:hyperlink r:id="rId7" w:tooltip="32011R0404" w:history="1">
        <w:r w:rsidRPr="00687F57">
          <w:rPr>
            <w:rStyle w:val="Hyperlink"/>
            <w:rFonts w:asciiTheme="minorHAnsi" w:hAnsiTheme="minorHAnsi" w:cstheme="minorHAnsi"/>
            <w:color w:val="000000"/>
            <w:u w:val="none"/>
          </w:rPr>
          <w:t>για τη θέσπιση λεπτομερών κανόνων σχετικά με την εφαρμογή του κανονισμού (ΕΚ) αριθ. 1224/2009 περί της θέσπισης κοινοτικού συστήματος ελέγχου για την εξασφάλιση της τήρησης των κανόνων της κοινής αλιευτικής πολιτικής</w:t>
        </w:r>
      </w:hyperlink>
      <w:r w:rsidRPr="00687F57">
        <w:rPr>
          <w:rFonts w:asciiTheme="minorHAnsi" w:hAnsiTheme="minorHAnsi" w:cstheme="minorHAnsi"/>
          <w:color w:val="000000"/>
        </w:rPr>
        <w:t xml:space="preserve">» (ΕΕ L 112 της 30.4.2011, σ. 1), ως «αλιευτική δραστηριότητα» νοείται κάθε δραστηριότητα που συνδέεται με την </w:t>
      </w:r>
      <w:r w:rsidRPr="00687F57">
        <w:rPr>
          <w:rFonts w:asciiTheme="minorHAnsi" w:hAnsiTheme="minorHAnsi" w:cstheme="minorHAnsi"/>
          <w:color w:val="000000"/>
        </w:rPr>
        <w:lastRenderedPageBreak/>
        <w:t xml:space="preserve">αναζήτηση αλιευμάτων, τη ρίψη, την πόντιση και την ανάσυρση αλιευτικών εργαλείων, τη ρύθμιση, τον εμποτισμό την ανάσυρση και εκ νέου ρύθμιση αδρανών εργαλείων και την αφαίρεση οιουδήποτε αλιεύματος από τα αλιευτικά εργαλεία, τα δίκτυα διατήρησης ή τον κλωβό μεταφοράς προς κλωβούς πάχυνσης και εκτροφής. </w:t>
      </w:r>
    </w:p>
    <w:p w:rsidR="0002236B" w:rsidRPr="00687F57" w:rsidRDefault="0002236B" w:rsidP="001E72E3">
      <w:pPr>
        <w:spacing w:line="360" w:lineRule="auto"/>
        <w:jc w:val="both"/>
        <w:rPr>
          <w:rFonts w:asciiTheme="minorHAnsi" w:hAnsiTheme="minorHAnsi" w:cstheme="minorHAnsi"/>
          <w:color w:val="000000"/>
        </w:rPr>
      </w:pPr>
      <w:r w:rsidRPr="00687F57">
        <w:rPr>
          <w:rFonts w:asciiTheme="minorHAnsi" w:hAnsiTheme="minorHAnsi" w:cstheme="minorHAnsi"/>
          <w:color w:val="000000"/>
        </w:rPr>
        <w:t>Κατόπιν των ανωτέρω, με την προτεινόμενη διάταξη προβλέπεται ρητά ότι οι απαγορεύσεις στη διενέργεια αλιείας με κυκλικά δίχτυα (γρι γρι) που προβλέπονται συνολικά στην εθνική και ενωσιακή νομοθεσία, αφορούν το σύνολο της αλιευτικής δραστηριότητας που συνδέεται με το συγκεκριμένο αλιευτικό εργαλείο και το σύνολο του εξοπλισμού που χρησιμοποιείται για την αλιεία με αυτό.</w:t>
      </w:r>
    </w:p>
    <w:p w:rsidR="0002236B" w:rsidRPr="00687F57" w:rsidRDefault="0002236B" w:rsidP="00BA2003">
      <w:pPr>
        <w:spacing w:line="360" w:lineRule="auto"/>
        <w:rPr>
          <w:rFonts w:asciiTheme="minorHAnsi" w:hAnsiTheme="minorHAnsi" w:cstheme="minorHAnsi"/>
          <w:b/>
          <w:bCs/>
          <w:color w:val="000000"/>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D74166" w:rsidRPr="00687F57">
        <w:rPr>
          <w:rFonts w:asciiTheme="minorHAnsi" w:hAnsiTheme="minorHAnsi" w:cstheme="minorHAnsi"/>
          <w:b/>
          <w:bCs/>
        </w:rPr>
        <w:t>2</w:t>
      </w:r>
    </w:p>
    <w:p w:rsidR="0002236B" w:rsidRPr="00687F57" w:rsidRDefault="0002236B" w:rsidP="00687F57">
      <w:pPr>
        <w:autoSpaceDE w:val="0"/>
        <w:autoSpaceDN w:val="0"/>
        <w:adjustRightInd w:val="0"/>
        <w:spacing w:line="360" w:lineRule="auto"/>
        <w:rPr>
          <w:rFonts w:asciiTheme="minorHAnsi" w:hAnsiTheme="minorHAnsi" w:cstheme="minorHAnsi"/>
          <w:b/>
          <w:bCs/>
          <w:color w:val="000000"/>
          <w:lang w:val="en-GB"/>
        </w:rPr>
      </w:pPr>
      <w:r w:rsidRPr="00687F57">
        <w:rPr>
          <w:rFonts w:asciiTheme="minorHAnsi" w:hAnsiTheme="minorHAnsi" w:cstheme="minorHAnsi"/>
          <w:b/>
          <w:bCs/>
          <w:color w:val="000000"/>
        </w:rPr>
        <w:t>Λειτουργία Περιοχών Οργανωμένης Ανάπτυξης Υδατοκαλλιεργειών (Π.Ο.Α.Υ.)</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1. Με την προτεινόμενη παρ. 1 προστίθενται παρ. 4 και 5 στο άρθρο 6 του ν. 4282/2014 «Ανάπτυξη Υδατοκαλλιεργειών και άλλες διατάξεις» (Α΄ 182), προκειμένου να προβλεφθεί ότι ο κανονισμός λειτουργίας μίας Περιοχής Οργανωμένης Ανάπτυξης Υδατοκαλλιεργειών (Π.Ο.Α.Υ.), την ευθύνη του οποίου έχει ο φορέας διαχείρισής της, εγκρίνεται με απόφαση του Συντονιστή της οικείας Αποκεντρωμένης Διοίκησης, μετά από εισήγηση της αρμόδιας Διεύθυνσης Αγροτικών Υποθέσεων. Ειδικότερα, ως προς τον κανονισμό λειτουργίας της Π.Ο.Α.Υ.:</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α) Στο παράρτημα Β΄ της αριθ. Η.Π. 17239/30.8.2002 απόφασης της Υπουργού Περιβάλλοντος Χωροταξίας και Δημοσίων Έργων «Καθορισμός δικαιολογητικών, διαδικασίας και προϋποθέσεων χωροθέτησης Περιοχών Οργανωμένης Ανάπτυξης Υδατοκαλλιεργειών» (Β΄ 1175), προβλέπεται ότι στα περιεχόμενα της Μελέτης βιωσιμότητας-σκοπιμότητας της Π.Ο.Α.Υ. και σχεδίου οργάνωσης και λειτουργίας που υποβάλλεται από τον φορέα, περιλαμβάνεται και κανονισμός λειτουργίας και αρμοδιότητες αυτού. </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β) Στο άρθρο 6 στοιχείο Β΄ υποστοιχείο β΄ της αριθμ. 31722/4-11-2011 απόφασης της Επιτροπής Συντονισμού της Κυβερνητικής Πολιτικής στον τομέα του Χωροταξικού Σχεδιασμού και της Αειφόρου Ανάπτυξης «Έγκριση Ειδικού Πλαισίου Χωροταξικού Σχεδιασμού και Αειφόρου Ανάπτυξης για τις υδατοκαλλιέργειες και της στρατηγικής μελέτης περιβαλλοντικών επιπτώσεων αυτού» (Β΄ 2505), </w:t>
      </w:r>
      <w:r w:rsidRPr="00687F57">
        <w:rPr>
          <w:rFonts w:asciiTheme="minorHAnsi" w:hAnsiTheme="minorHAnsi" w:cstheme="minorHAnsi"/>
          <w:color w:val="000000"/>
        </w:rPr>
        <w:lastRenderedPageBreak/>
        <w:t xml:space="preserve">προβλέπεται ότι για την έγκριση Π.Ο.Α.Υ. απαιτείται η κατάθεση κανονισμού λειτουργίας, την ευθύνη του οποίου έχει ο φορέας. Ο κανονισμός λειτουργίας ρυθμίζει τη διαχείριση και λειτουργία της Π.Ο.Α.Υ. και των εγκατεστημένων σε αυτήν κύριων, συνοδών και υποστηρικτικών εγκαταστάσεων.      </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γ) Τέλος, στην παρ. 5 της αριθμ. Δ10/2019 γνωμοδότησης του Συμβουλίου της Επικρατείας (ΣτΕ) για το σχέδιο προεδρικού διατάγματος «Χαρακτηρισμός και Οριοθέτηση Περιοχής Οργανωμένης Ανάπτυξης Υδατοκαλλιεργειών (Π.Ο.Α.Υ.) που βρίσκεται σε θαλάσσιες περιοχές της Περιφερειακής Ενότητας Πιερίας της Περιφέρειας Κεντρικής Μακεδονίας και περιβαλλοντική έγκριση του σχεδίου αυτού», αναφέρεται ότι πριν την έναρξη κανονικής λειτουργίας της Π.Ο.Α.Υ. πρέπει να έχει εγκριθεί αρμοδίως ο κανονισμός λειτουργίας με εξειδίκευση των ρυθμίσεων που ήδη περιλαμβάνονται στο σχετικό κεφάλαιο του υπό επεξεργασία ως άνω π.δ. με τίτλο “Κανονισμός Λειτουργίας”, ο οποίος δεν αποτελεί πλήρη κανονισμό αλλά προαναγγελία του περιεχομένου του, σε συνδυασμό με τα προβλεπόμενα στο Ειδικό Πλαίσιο για τις υδατοκαλλιέργειες ως προς τα ζητήματα που δύναται να ρυθμίζει (ΦΕΚ Β΄ 2505/2011, άρθρο 6 Β, σελ. 36570).  </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Κατόπιν των ανωτέρω, επειδή στην ισχύουσα νομοθεσία δεν υπάρχει διάταξη σχετικά με την αρμόδια αρχή για την έγκριση του κανονισμού λειτουργίας των Π.Ο.Α.Υ., η προτεινόμενη προσθήκη στο άρθρο 6 του ν. 4282/2014 κρίνεται αναγκαία για τον καθορισμό της εν λόγω αρμόδιας αρχής, προκειμένου να μπορεί να λειτουργήσει κανονικά τόσο η Π.Ο.Α.Υ. Πιερίας, για την οποία ο λόγος στο ανωτέρω πρακτικό γνωμοδότησης του ΣτΕ, όσο και οι υπόλοιπες Π.Ο.Α.Υ. που είναι σε εξέλιξη.  </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2. Με την προτεινόμενη παρ. 2 αντικαθίσταται το άρθρο 12 του ν. 4282/2014 για τους ακόλουθους λόγους: </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 xml:space="preserve">α) Όπως διευκρινίζεται με το υπ’ αριθμ. 1060374 ΕΞ 2017/ 02-05-2017 έγγραφο της Ανεξάρτητης Αρχής Δημοσίων Εσόδων (ΑΑΔΕ), η οριζόμενη με το άρθρο 12 του ν. 4282/2014 διαδικασία απόδοσης των μισθωμάτων στους δήμους δεν συνάδει με τις ισχύουσες διατάξεις περί δημοσίου λογιστικού του ν. 2362/1995 (Α΄ 247) [ο οποίος έχει ήδη αντικατασταθεί από τον ν. 4270/2014 (Α΄ 143)] και της υπ’ αριθ. Δ16Ε1113067ΕΞ2011/5-8-2011 απόφασης του Αναπληρωτή Υπουργού Οικονομικών «Είσπραξη εσόδων υπέρ Δήμων από τις Δημόσιες Οικονομικές Υπηρεσίες (Δ.Ο.Υ)», </w:t>
      </w:r>
      <w:r w:rsidRPr="00687F57">
        <w:rPr>
          <w:rFonts w:asciiTheme="minorHAnsi" w:hAnsiTheme="minorHAnsi" w:cstheme="minorHAnsi"/>
          <w:color w:val="000000"/>
        </w:rPr>
        <w:lastRenderedPageBreak/>
        <w:t>σύμφωνα με την οποία είσπραξη εσόδων υπέρ δήμων από τις Δ.Ο.Υ. πραγματοποιείται μόνο σε περιπτώσεις εσόδων των δήμων που συμβεβαιώνονται με έσοδα του Δημοσίου.</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β) Επιπλέον, με την ισχύουσα ρύθμιση δεν είναι δυνατή η απόδοση ποσοστού των μισθωμάτων στους δικαιούχους φορείς διαχείρισης, καθώς δεν τους χορηγούνται Κωδικοί Αριθμοί Εσόδων από την αρμόδια ΑΑΔΕ, όπως έχει επισημανθεί και από τη Δ/νση Προϋπολογισμού και Δημοσιονομικών Αναφορών του Υπουργείου Περιβάλλοντος και Ενέργειας με το από 22/10/2018 μήνυμα ηλεκτρονικού ταχυδρομείου προς τη Δ/νση  Υδατοκαλλιεργειών του ΥΠΑΑΤ.</w:t>
      </w:r>
    </w:p>
    <w:p w:rsidR="0002236B" w:rsidRPr="00687F57" w:rsidRDefault="0002236B" w:rsidP="00AE5F2A">
      <w:pPr>
        <w:spacing w:line="360" w:lineRule="auto"/>
        <w:jc w:val="both"/>
        <w:rPr>
          <w:rFonts w:asciiTheme="minorHAnsi" w:hAnsiTheme="minorHAnsi" w:cstheme="minorHAnsi"/>
          <w:color w:val="000000"/>
        </w:rPr>
      </w:pPr>
      <w:r w:rsidRPr="00687F57">
        <w:rPr>
          <w:rFonts w:asciiTheme="minorHAnsi" w:hAnsiTheme="minorHAnsi" w:cstheme="minorHAnsi"/>
          <w:color w:val="000000"/>
        </w:rPr>
        <w:t>Κατόπιν των ανωτέρω, η αντικατάσταση του άρθρου 12 του ν. 4282/2014 κρίνεται αναγκαία, προκειμένου να αντιμετωπιστούν τα ανωτέρω προβλήματα και να προχωρήσει απρόσκοπτα η είσπραξη και απόδοση των μισθωμάτων από την παραχώρηση χρήσης (εκμίσθωση) θαλάσσιων και λιμναίων υδάτινων εκτάσεων για τη λειτουργία μονάδων υδατοκαλλιέργειας, εντατικής ή ημιεντατικής μορφής, σε όλους τους δικαιούχους.</w:t>
      </w:r>
    </w:p>
    <w:p w:rsidR="004A6DD9" w:rsidRPr="00687F57" w:rsidRDefault="004A6DD9" w:rsidP="00AE5F2A">
      <w:pPr>
        <w:spacing w:line="360" w:lineRule="auto"/>
        <w:jc w:val="both"/>
        <w:rPr>
          <w:rFonts w:asciiTheme="minorHAnsi" w:hAnsiTheme="minorHAnsi" w:cstheme="minorHAnsi"/>
          <w:color w:val="000000"/>
          <w:lang w:val="en-GB"/>
        </w:rPr>
      </w:pPr>
    </w:p>
    <w:p w:rsidR="0002236B" w:rsidRPr="00687F57" w:rsidRDefault="0002236B" w:rsidP="00AE5F2A">
      <w:pPr>
        <w:spacing w:line="360" w:lineRule="auto"/>
        <w:jc w:val="both"/>
        <w:rPr>
          <w:rFonts w:asciiTheme="minorHAnsi" w:hAnsiTheme="minorHAnsi" w:cstheme="minorHAnsi"/>
          <w:b/>
          <w:color w:val="000000"/>
        </w:rPr>
      </w:pPr>
      <w:r w:rsidRPr="00687F57">
        <w:rPr>
          <w:rFonts w:asciiTheme="minorHAnsi" w:hAnsiTheme="minorHAnsi" w:cstheme="minorHAnsi"/>
          <w:b/>
          <w:color w:val="000000"/>
        </w:rPr>
        <w:t>ΚΕΦΑΛΑΙΟ Δ΄</w:t>
      </w:r>
    </w:p>
    <w:p w:rsidR="0002236B" w:rsidRPr="00687F57" w:rsidRDefault="0002236B" w:rsidP="00AE5F2A">
      <w:pPr>
        <w:spacing w:line="360" w:lineRule="auto"/>
        <w:jc w:val="both"/>
        <w:rPr>
          <w:rFonts w:asciiTheme="minorHAnsi" w:hAnsiTheme="minorHAnsi" w:cstheme="minorHAnsi"/>
          <w:b/>
          <w:color w:val="000000"/>
        </w:rPr>
      </w:pPr>
      <w:r w:rsidRPr="00687F57">
        <w:rPr>
          <w:rFonts w:asciiTheme="minorHAnsi" w:hAnsiTheme="minorHAnsi" w:cstheme="minorHAnsi"/>
          <w:b/>
          <w:color w:val="000000"/>
        </w:rPr>
        <w:t xml:space="preserve">ΡΥΘΜΙΣΕΙΣ ΚΤΗΝΙΑΤΡΙΚΩΝ ΘΕΜΑΤΩΝ </w:t>
      </w:r>
    </w:p>
    <w:p w:rsidR="0002236B" w:rsidRPr="00687F57" w:rsidRDefault="0002236B" w:rsidP="00AE5F2A">
      <w:pPr>
        <w:spacing w:line="360" w:lineRule="auto"/>
        <w:jc w:val="both"/>
        <w:rPr>
          <w:rFonts w:asciiTheme="minorHAnsi" w:hAnsiTheme="minorHAnsi" w:cstheme="minorHAnsi"/>
          <w:color w:val="000000"/>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4A6DD9" w:rsidRPr="00687F57">
        <w:rPr>
          <w:rFonts w:asciiTheme="minorHAnsi" w:hAnsiTheme="minorHAnsi" w:cstheme="minorHAnsi"/>
          <w:b/>
          <w:bCs/>
        </w:rPr>
        <w:t>3</w:t>
      </w:r>
    </w:p>
    <w:p w:rsidR="0002236B" w:rsidRPr="00687F57" w:rsidRDefault="0002236B" w:rsidP="00687F57">
      <w:pPr>
        <w:spacing w:line="360" w:lineRule="auto"/>
        <w:rPr>
          <w:rFonts w:asciiTheme="minorHAnsi" w:hAnsiTheme="minorHAnsi" w:cstheme="minorHAnsi"/>
          <w:b/>
          <w:lang w:val="en-GB"/>
        </w:rPr>
      </w:pPr>
      <w:r w:rsidRPr="00687F57">
        <w:rPr>
          <w:rFonts w:asciiTheme="minorHAnsi" w:hAnsiTheme="minorHAnsi" w:cstheme="minorHAnsi"/>
          <w:b/>
        </w:rPr>
        <w:t>Κτηνιατρικά φαρμακευτικά προϊόντα</w:t>
      </w:r>
    </w:p>
    <w:p w:rsidR="004A6DD9" w:rsidRPr="00687F57" w:rsidRDefault="0002236B" w:rsidP="004A6DD9">
      <w:pPr>
        <w:spacing w:line="360" w:lineRule="auto"/>
        <w:jc w:val="both"/>
        <w:rPr>
          <w:rFonts w:asciiTheme="minorHAnsi" w:hAnsiTheme="minorHAnsi" w:cstheme="minorHAnsi"/>
        </w:rPr>
      </w:pPr>
      <w:r w:rsidRPr="00687F57">
        <w:rPr>
          <w:rFonts w:asciiTheme="minorHAnsi" w:hAnsiTheme="minorHAnsi" w:cstheme="minorHAnsi"/>
        </w:rPr>
        <w:t>Με τις διατάξεις του προτεινόμενου άρθρου τροποποιούνται διατάξεις του ν. 2538/1997 (Α΄242) και του ν. 3698/2008 (Α΄ 198), οι οποίες αφορούν στην εμπορία, διάθεση και χρήση των κτηνιατρικών φαρμακευτικών προϊόντων και φαρμακούχων ζωοτροφών, λαμβάνοντας υπόψη την αποκτηθείσα εμπειρία και τα προβλήματα που αναδείχτηκαν την τελευταία δεκαετία εφαρμογής αυτών, με στόχο: α) τη βελτίωση των προβλεπόμενων κυρώσεων και τη βαθμιαία κλιμάκωσή τους, ώστε αυτές να γίνουν περισσότερο αναλογικές και αποτρεπτικές, βάσει κυρίως της σοβαρότητας της παράβασης και το</w:t>
      </w:r>
      <w:r w:rsidR="00A10BBA" w:rsidRPr="00687F57">
        <w:rPr>
          <w:rFonts w:asciiTheme="minorHAnsi" w:hAnsiTheme="minorHAnsi" w:cstheme="minorHAnsi"/>
        </w:rPr>
        <w:t>υ</w:t>
      </w:r>
      <w:r w:rsidRPr="00687F57">
        <w:rPr>
          <w:rFonts w:asciiTheme="minorHAnsi" w:hAnsiTheme="minorHAnsi" w:cstheme="minorHAnsi"/>
        </w:rPr>
        <w:t xml:space="preserve"> δυνητικ</w:t>
      </w:r>
      <w:r w:rsidR="00A10BBA" w:rsidRPr="00687F57">
        <w:rPr>
          <w:rFonts w:asciiTheme="minorHAnsi" w:hAnsiTheme="minorHAnsi" w:cstheme="minorHAnsi"/>
        </w:rPr>
        <w:t>ού</w:t>
      </w:r>
      <w:r w:rsidRPr="00687F57">
        <w:rPr>
          <w:rFonts w:asciiTheme="minorHAnsi" w:hAnsiTheme="minorHAnsi" w:cstheme="minorHAnsi"/>
        </w:rPr>
        <w:t xml:space="preserve"> κ</w:t>
      </w:r>
      <w:r w:rsidR="00A10BBA" w:rsidRPr="00687F57">
        <w:rPr>
          <w:rFonts w:asciiTheme="minorHAnsi" w:hAnsiTheme="minorHAnsi" w:cstheme="minorHAnsi"/>
        </w:rPr>
        <w:t>ι</w:t>
      </w:r>
      <w:r w:rsidRPr="00687F57">
        <w:rPr>
          <w:rFonts w:asciiTheme="minorHAnsi" w:hAnsiTheme="minorHAnsi" w:cstheme="minorHAnsi"/>
        </w:rPr>
        <w:t>νδ</w:t>
      </w:r>
      <w:r w:rsidR="00A10BBA" w:rsidRPr="00687F57">
        <w:rPr>
          <w:rFonts w:asciiTheme="minorHAnsi" w:hAnsiTheme="minorHAnsi" w:cstheme="minorHAnsi"/>
        </w:rPr>
        <w:t>ύ</w:t>
      </w:r>
      <w:r w:rsidRPr="00687F57">
        <w:rPr>
          <w:rFonts w:asciiTheme="minorHAnsi" w:hAnsiTheme="minorHAnsi" w:cstheme="minorHAnsi"/>
        </w:rPr>
        <w:t>νο</w:t>
      </w:r>
      <w:r w:rsidR="00A10BBA" w:rsidRPr="00687F57">
        <w:rPr>
          <w:rFonts w:asciiTheme="minorHAnsi" w:hAnsiTheme="minorHAnsi" w:cstheme="minorHAnsi"/>
        </w:rPr>
        <w:t>υ</w:t>
      </w:r>
      <w:r w:rsidRPr="00687F57">
        <w:rPr>
          <w:rFonts w:asciiTheme="minorHAnsi" w:hAnsiTheme="minorHAnsi" w:cstheme="minorHAnsi"/>
        </w:rPr>
        <w:t xml:space="preserve">, με απώτερο στόχο τη συμμόρφωση, β) την προσθήκη περιπτώσεων παραβάσεων, γ) την αποποινικοποίηση ορισμένων παραβάσεων οι οποίες δεν συνιστούν σοβαρό κίνδυνο για την υγεία των ζώων και τη δημόσια υγεία και δ) τη βελτίωση των </w:t>
      </w:r>
      <w:r w:rsidRPr="00687F57">
        <w:rPr>
          <w:rFonts w:asciiTheme="minorHAnsi" w:hAnsiTheme="minorHAnsi" w:cstheme="minorHAnsi"/>
        </w:rPr>
        <w:lastRenderedPageBreak/>
        <w:t xml:space="preserve">επισήμων ελέγχων στον τομέα των κτηνιατρικών φαρμάκων σε συμμόρφωση προς τις συστάσεις της Ευρωπαϊκής Επιτροπής. Επισημαίνεται ότι όσον αφορά στην εν γένει διάθεση και χρήση των κτηνιατρικών φαρμακευτικών προϊόντων και φαρμακούχων ζωοτροφών στις εκτροφές παραγωγικών ζώων, </w:t>
      </w:r>
      <w:r w:rsidR="00A10BBA" w:rsidRPr="00687F57">
        <w:rPr>
          <w:rFonts w:asciiTheme="minorHAnsi" w:hAnsiTheme="minorHAnsi" w:cstheme="minorHAnsi"/>
        </w:rPr>
        <w:t xml:space="preserve">αυτές </w:t>
      </w:r>
      <w:r w:rsidRPr="00687F57">
        <w:rPr>
          <w:rFonts w:asciiTheme="minorHAnsi" w:hAnsiTheme="minorHAnsi" w:cstheme="minorHAnsi"/>
        </w:rPr>
        <w:t xml:space="preserve">ρυθμίζονται από τις διατάξεις της παρ. 2 του άρθρου 23 και του άρθρου 24 του ν. 4235/2014 (Α΄ 32). Ειδικότερα: </w:t>
      </w:r>
    </w:p>
    <w:p w:rsidR="0002236B" w:rsidRPr="00687F57" w:rsidRDefault="0002236B" w:rsidP="004A6DD9">
      <w:pPr>
        <w:spacing w:line="360" w:lineRule="auto"/>
        <w:jc w:val="both"/>
        <w:rPr>
          <w:rFonts w:asciiTheme="minorHAnsi" w:hAnsiTheme="minorHAnsi" w:cstheme="minorHAnsi"/>
        </w:rPr>
      </w:pPr>
      <w:r w:rsidRPr="00687F57">
        <w:rPr>
          <w:rFonts w:asciiTheme="minorHAnsi" w:hAnsiTheme="minorHAnsi" w:cstheme="minorHAnsi"/>
        </w:rPr>
        <w:t xml:space="preserve">Με την παρ. 1 του προτεινόμενου  άρθρου αντικαθίσταται το άρθρο 10 του ν. 2538/1997, όπως αυτό τροποποιήθηκε με το άρθρο 23 του ν. 3698/2008 (Α΄ 198), προκειμένου να αναπροσαρμοσθεί το ύψος των προστίμων, να προβλεφθεί  βαθμιαία κλιμάκωση των κυρώσεων και να προστεθούν νέες περιπτώσεις παραβάσεων σύμφωνα με την αποκτηθείσα από τους διενεργηθέντες ελέγχους εμπειρία. </w:t>
      </w:r>
    </w:p>
    <w:p w:rsidR="0002236B" w:rsidRPr="00687F57" w:rsidRDefault="0002236B" w:rsidP="009E6EE5">
      <w:pPr>
        <w:spacing w:line="360" w:lineRule="exact"/>
        <w:jc w:val="both"/>
        <w:rPr>
          <w:rFonts w:asciiTheme="minorHAnsi" w:hAnsiTheme="minorHAnsi" w:cstheme="minorHAnsi"/>
        </w:rPr>
      </w:pPr>
      <w:r w:rsidRPr="00687F57">
        <w:rPr>
          <w:rFonts w:asciiTheme="minorHAnsi" w:hAnsiTheme="minorHAnsi" w:cstheme="minorHAnsi"/>
        </w:rPr>
        <w:t>Με την παρ. 2 τ</w:t>
      </w:r>
      <w:r w:rsidR="004A6DD9" w:rsidRPr="00687F57">
        <w:rPr>
          <w:rFonts w:asciiTheme="minorHAnsi" w:hAnsiTheme="minorHAnsi" w:cstheme="minorHAnsi"/>
        </w:rPr>
        <w:t>ου προτεινόμενου άρθρου</w:t>
      </w:r>
      <w:r w:rsidRPr="00687F57">
        <w:rPr>
          <w:rFonts w:asciiTheme="minorHAnsi" w:hAnsiTheme="minorHAnsi" w:cstheme="minorHAnsi"/>
        </w:rPr>
        <w:t xml:space="preserve"> αντικαθίσταται το άρθρο 11 του ν. 2538/1997</w:t>
      </w:r>
      <w:r w:rsidR="00A10BBA" w:rsidRPr="00687F57">
        <w:rPr>
          <w:rFonts w:asciiTheme="minorHAnsi" w:hAnsiTheme="minorHAnsi" w:cstheme="minorHAnsi"/>
        </w:rPr>
        <w:t>,</w:t>
      </w:r>
      <w:r w:rsidRPr="00687F57">
        <w:rPr>
          <w:rFonts w:asciiTheme="minorHAnsi" w:hAnsiTheme="minorHAnsi" w:cstheme="minorHAnsi"/>
        </w:rPr>
        <w:t xml:space="preserve"> προκειμένου να ρυθμισθούν θέματα σχετικά με τους επισήμους ελέγχους, την απόσυρση και καταστροφή των κτηνιατρικών φαρμακευτικών προϊόντων και φαρμακούχων ζωοτροφών, να καθορισθούν οι συχνότητες των ελέγχων, καθώς και να επικαιροποιηθούν οι αρμόδιες αρχές.</w:t>
      </w:r>
    </w:p>
    <w:p w:rsidR="0002236B" w:rsidRPr="00687F57" w:rsidRDefault="0002236B" w:rsidP="009E6EE5">
      <w:pPr>
        <w:spacing w:line="360" w:lineRule="exact"/>
        <w:jc w:val="both"/>
        <w:rPr>
          <w:rFonts w:asciiTheme="minorHAnsi" w:hAnsiTheme="minorHAnsi" w:cstheme="minorHAnsi"/>
        </w:rPr>
      </w:pPr>
      <w:r w:rsidRPr="00687F57">
        <w:rPr>
          <w:rFonts w:asciiTheme="minorHAnsi" w:hAnsiTheme="minorHAnsi" w:cstheme="minorHAnsi"/>
        </w:rPr>
        <w:t>Με την παρ. 3 του προτεινόμενου  άρθρου αντικαθίσταται το άρθρο 22 του ν. 3698/2008 προκειμένου να αναπροσαρμοσθούν οι κυρώσεις σχετικά με τα κτηνιατρικά γραφεία παραγωγικών ζώων. Επισημαίνεται ότι οι κυρώσεις των παρ. 2 και 3 του άρθρου 22, όπως ισχύει σήμερα, ενσωματώνονται στο προτεινόμενο, ως άνω, άρθρο 10 του ν. 2538/1997.</w:t>
      </w:r>
    </w:p>
    <w:p w:rsidR="0002236B" w:rsidRPr="00687F57" w:rsidRDefault="0002236B" w:rsidP="009E6EE5">
      <w:pPr>
        <w:spacing w:line="360" w:lineRule="exact"/>
        <w:jc w:val="both"/>
        <w:rPr>
          <w:rFonts w:asciiTheme="minorHAnsi" w:hAnsiTheme="minorHAnsi" w:cstheme="minorHAnsi"/>
        </w:rPr>
      </w:pPr>
      <w:r w:rsidRPr="00687F57">
        <w:rPr>
          <w:rFonts w:asciiTheme="minorHAnsi" w:hAnsiTheme="minorHAnsi" w:cstheme="minorHAnsi"/>
        </w:rPr>
        <w:t>Με την παρ. 4 του προτεινόμενου άρθρου προβλέπεται μεταβατική διάταξη που αφορά παραβάσεις οι οποίες έχουν διαπιστωθεί πριν την έναρξη ισχύος του παρόντος, πλην όμως δεν έχουν επιβληθεί ακόμα κυρώσεις.</w:t>
      </w:r>
    </w:p>
    <w:p w:rsidR="0001736D" w:rsidRPr="00687F57" w:rsidRDefault="0001736D" w:rsidP="003917A8">
      <w:pPr>
        <w:spacing w:line="360" w:lineRule="auto"/>
        <w:rPr>
          <w:rFonts w:asciiTheme="minorHAnsi" w:hAnsiTheme="minorHAnsi" w:cstheme="minorHAnsi"/>
          <w:b/>
          <w:color w:val="FF0000"/>
          <w:lang w:val="en-GB"/>
        </w:rPr>
      </w:pPr>
    </w:p>
    <w:p w:rsidR="00085297" w:rsidRPr="00687F57" w:rsidRDefault="00085297" w:rsidP="003917A8">
      <w:pPr>
        <w:spacing w:line="360" w:lineRule="auto"/>
        <w:rPr>
          <w:rFonts w:asciiTheme="minorHAnsi" w:hAnsiTheme="minorHAnsi" w:cstheme="minorHAnsi"/>
          <w:b/>
        </w:rPr>
      </w:pPr>
      <w:r w:rsidRPr="00687F57">
        <w:rPr>
          <w:rFonts w:asciiTheme="minorHAnsi" w:hAnsiTheme="minorHAnsi" w:cstheme="minorHAnsi"/>
          <w:b/>
        </w:rPr>
        <w:t>Επί του άρθρου 1</w:t>
      </w:r>
      <w:r w:rsidR="0001736D" w:rsidRPr="00687F57">
        <w:rPr>
          <w:rFonts w:asciiTheme="minorHAnsi" w:hAnsiTheme="minorHAnsi" w:cstheme="minorHAnsi"/>
          <w:b/>
        </w:rPr>
        <w:t>4</w:t>
      </w:r>
    </w:p>
    <w:p w:rsidR="00013911" w:rsidRPr="00687F57" w:rsidRDefault="00085297" w:rsidP="00687F57">
      <w:pPr>
        <w:spacing w:line="360" w:lineRule="auto"/>
        <w:rPr>
          <w:rFonts w:asciiTheme="minorHAnsi" w:hAnsiTheme="minorHAnsi" w:cstheme="minorHAnsi"/>
          <w:b/>
          <w:lang w:val="en-GB"/>
        </w:rPr>
      </w:pPr>
      <w:r w:rsidRPr="00687F57">
        <w:rPr>
          <w:rFonts w:asciiTheme="minorHAnsi" w:hAnsiTheme="minorHAnsi" w:cstheme="minorHAnsi"/>
          <w:b/>
        </w:rPr>
        <w:t>Σχολές Επαγγελμάτων Κρέατος</w:t>
      </w:r>
      <w:r w:rsidR="00C84ACB" w:rsidRPr="00687F57">
        <w:rPr>
          <w:rFonts w:asciiTheme="minorHAnsi" w:hAnsiTheme="minorHAnsi" w:cstheme="minorHAnsi"/>
        </w:rPr>
        <w:t xml:space="preserve"> </w:t>
      </w:r>
      <w:r w:rsidR="00C84ACB" w:rsidRPr="00687F57">
        <w:rPr>
          <w:rFonts w:asciiTheme="minorHAnsi" w:hAnsiTheme="minorHAnsi" w:cstheme="minorHAnsi"/>
          <w:b/>
        </w:rPr>
        <w:t>- Εκδοροσφαγείς</w:t>
      </w:r>
    </w:p>
    <w:p w:rsidR="0002236B" w:rsidRPr="00687F57" w:rsidRDefault="00013911" w:rsidP="00013911">
      <w:pPr>
        <w:spacing w:line="360" w:lineRule="auto"/>
        <w:jc w:val="both"/>
        <w:rPr>
          <w:rFonts w:asciiTheme="minorHAnsi" w:hAnsiTheme="minorHAnsi" w:cstheme="minorHAnsi"/>
          <w:bCs/>
        </w:rPr>
      </w:pPr>
      <w:r w:rsidRPr="00687F57">
        <w:rPr>
          <w:rFonts w:asciiTheme="minorHAnsi" w:hAnsiTheme="minorHAnsi" w:cstheme="minorHAnsi"/>
          <w:bCs/>
        </w:rPr>
        <w:t>Με την παρ. 1 του προτεινόμενου άρθρου τροποποιούνται διατάξεις</w:t>
      </w:r>
      <w:r w:rsidRPr="00687F57">
        <w:rPr>
          <w:rFonts w:asciiTheme="minorHAnsi" w:hAnsiTheme="minorHAnsi" w:cstheme="minorHAnsi"/>
        </w:rPr>
        <w:t xml:space="preserve"> </w:t>
      </w:r>
      <w:r w:rsidRPr="00687F57">
        <w:rPr>
          <w:rFonts w:asciiTheme="minorHAnsi" w:hAnsiTheme="minorHAnsi" w:cstheme="minorHAnsi"/>
          <w:bCs/>
        </w:rPr>
        <w:t>του άρθρου 18 του ν. 1790/1988 (Α΄ 134) με σκοπό την απλούστευση της διαδικασίας αναγνώρισης των δημόσιων ή ιδιωτικών σχολών και ιδρυμάτων της χώρας που είναι αντίστοιχες/α με τις σχολές επαγγελμάτων κρέατος του ΥΠΑΑΤ.</w:t>
      </w:r>
    </w:p>
    <w:p w:rsidR="00013911" w:rsidRPr="00687F57" w:rsidRDefault="00013911" w:rsidP="00013911">
      <w:pPr>
        <w:spacing w:line="360" w:lineRule="auto"/>
        <w:jc w:val="both"/>
        <w:rPr>
          <w:rFonts w:asciiTheme="minorHAnsi" w:hAnsiTheme="minorHAnsi" w:cstheme="minorHAnsi"/>
          <w:bCs/>
        </w:rPr>
      </w:pPr>
      <w:r w:rsidRPr="00687F57">
        <w:rPr>
          <w:rFonts w:asciiTheme="minorHAnsi" w:hAnsiTheme="minorHAnsi" w:cstheme="minorHAnsi"/>
          <w:bCs/>
        </w:rPr>
        <w:lastRenderedPageBreak/>
        <w:t>Με την παρ. 2 του προτεινόμενου άρθρου τροποποιούνται διατάξεις</w:t>
      </w:r>
      <w:r w:rsidRPr="00687F57">
        <w:rPr>
          <w:rFonts w:asciiTheme="minorHAnsi" w:hAnsiTheme="minorHAnsi" w:cstheme="minorHAnsi"/>
        </w:rPr>
        <w:t xml:space="preserve"> </w:t>
      </w:r>
      <w:r w:rsidRPr="00687F57">
        <w:rPr>
          <w:rFonts w:asciiTheme="minorHAnsi" w:hAnsiTheme="minorHAnsi" w:cstheme="minorHAnsi"/>
          <w:bCs/>
        </w:rPr>
        <w:t>του π.δ. 126/2000  (Α΄111) που αφορούν την εκπαίδευση των εκδοροσφαγέων από τις σχολές επαγγελμάτων κρέατος του ΥΠΑΑΤ.</w:t>
      </w:r>
    </w:p>
    <w:p w:rsidR="00013911" w:rsidRPr="00687F57" w:rsidRDefault="00013911" w:rsidP="00013911">
      <w:pPr>
        <w:spacing w:line="360" w:lineRule="auto"/>
        <w:jc w:val="both"/>
        <w:rPr>
          <w:rFonts w:asciiTheme="minorHAnsi" w:hAnsiTheme="minorHAnsi" w:cstheme="minorHAnsi"/>
          <w:bCs/>
        </w:rPr>
      </w:pPr>
      <w:r w:rsidRPr="00687F57">
        <w:rPr>
          <w:rFonts w:asciiTheme="minorHAnsi" w:hAnsiTheme="minorHAnsi" w:cstheme="minorHAnsi"/>
          <w:bCs/>
        </w:rPr>
        <w:t>Με την παρ.</w:t>
      </w:r>
      <w:r w:rsidR="00126233" w:rsidRPr="00687F57">
        <w:rPr>
          <w:rFonts w:asciiTheme="minorHAnsi" w:hAnsiTheme="minorHAnsi" w:cstheme="minorHAnsi"/>
          <w:bCs/>
        </w:rPr>
        <w:t xml:space="preserve"> </w:t>
      </w:r>
      <w:r w:rsidRPr="00687F57">
        <w:rPr>
          <w:rFonts w:asciiTheme="minorHAnsi" w:hAnsiTheme="minorHAnsi" w:cstheme="minorHAnsi"/>
          <w:bCs/>
        </w:rPr>
        <w:t xml:space="preserve">3 </w:t>
      </w:r>
      <w:r w:rsidR="00126233" w:rsidRPr="00687F57">
        <w:rPr>
          <w:rFonts w:asciiTheme="minorHAnsi" w:hAnsiTheme="minorHAnsi" w:cstheme="minorHAnsi"/>
          <w:bCs/>
        </w:rPr>
        <w:t xml:space="preserve">του προτεινόμενου άρθρου </w:t>
      </w:r>
      <w:r w:rsidRPr="00687F57">
        <w:rPr>
          <w:rFonts w:asciiTheme="minorHAnsi" w:hAnsiTheme="minorHAnsi" w:cstheme="minorHAnsi"/>
          <w:bCs/>
        </w:rPr>
        <w:t>θεσπίζεται μεταβατική διάταξη για τους παραδοσιακούς εκδοροσφαγείς</w:t>
      </w:r>
      <w:r w:rsidR="00097383" w:rsidRPr="00687F57">
        <w:rPr>
          <w:rFonts w:asciiTheme="minorHAnsi" w:hAnsiTheme="minorHAnsi" w:cstheme="minorHAnsi"/>
          <w:bCs/>
        </w:rPr>
        <w:t>, ώστε εντός δυο ετών από την έναρξη ισχύος του παρόντος νόμου, να αποκτήσουν τη βεβαίωση παραδοσιακού εκδοροσφαγέα σύμφωνα με τις διατάξεις του π.δ. 126/2000</w:t>
      </w:r>
      <w:r w:rsidR="006E3EFE" w:rsidRPr="00687F57">
        <w:rPr>
          <w:rFonts w:asciiTheme="minorHAnsi" w:hAnsiTheme="minorHAnsi" w:cstheme="minorHAnsi"/>
          <w:bCs/>
        </w:rPr>
        <w:t>,</w:t>
      </w:r>
      <w:r w:rsidR="00097383" w:rsidRPr="00687F57">
        <w:rPr>
          <w:rFonts w:asciiTheme="minorHAnsi" w:hAnsiTheme="minorHAnsi" w:cstheme="minorHAnsi"/>
          <w:bCs/>
        </w:rPr>
        <w:t xml:space="preserve"> προκειμένου να συνεχίσουν να ασκούν το επάγγελμα αυτό.</w:t>
      </w:r>
    </w:p>
    <w:p w:rsidR="0001736D" w:rsidRPr="00687F57" w:rsidRDefault="0001736D" w:rsidP="00013911">
      <w:pPr>
        <w:spacing w:line="360" w:lineRule="auto"/>
        <w:jc w:val="both"/>
        <w:rPr>
          <w:rFonts w:asciiTheme="minorHAnsi" w:hAnsiTheme="minorHAnsi" w:cstheme="minorHAnsi"/>
          <w:b/>
          <w:lang w:val="en-GB"/>
        </w:rPr>
      </w:pPr>
    </w:p>
    <w:p w:rsidR="0002236B" w:rsidRPr="00687F57" w:rsidRDefault="0002236B" w:rsidP="003917A8">
      <w:pPr>
        <w:spacing w:line="360" w:lineRule="auto"/>
        <w:rPr>
          <w:rFonts w:asciiTheme="minorHAnsi" w:hAnsiTheme="minorHAnsi" w:cstheme="minorHAnsi"/>
          <w:b/>
        </w:rPr>
      </w:pPr>
      <w:r w:rsidRPr="00687F57">
        <w:rPr>
          <w:rFonts w:asciiTheme="minorHAnsi" w:hAnsiTheme="minorHAnsi" w:cstheme="minorHAnsi"/>
          <w:b/>
        </w:rPr>
        <w:t>ΚΕΦΑΛΑΙΟ Ε΄</w:t>
      </w:r>
    </w:p>
    <w:p w:rsidR="0002236B" w:rsidRPr="00687F57" w:rsidRDefault="0002236B" w:rsidP="003917A8">
      <w:pPr>
        <w:spacing w:line="360" w:lineRule="auto"/>
        <w:rPr>
          <w:rFonts w:asciiTheme="minorHAnsi" w:hAnsiTheme="minorHAnsi" w:cstheme="minorHAnsi"/>
          <w:b/>
        </w:rPr>
      </w:pPr>
      <w:r w:rsidRPr="00687F57">
        <w:rPr>
          <w:rFonts w:asciiTheme="minorHAnsi" w:hAnsiTheme="minorHAnsi" w:cstheme="minorHAnsi"/>
          <w:b/>
        </w:rPr>
        <w:t>ΡΥΘΜΙΣΕΙΣ ΘΕΜΑΤΩΝ ΕΠΟΠΤΕΥΟΜΕΝΩΝ ΦΟΡΕΩΝ</w:t>
      </w:r>
    </w:p>
    <w:p w:rsidR="0002236B" w:rsidRPr="00687F57" w:rsidRDefault="0002236B" w:rsidP="00AE5F2A">
      <w:pPr>
        <w:spacing w:line="360" w:lineRule="auto"/>
        <w:jc w:val="both"/>
        <w:rPr>
          <w:rFonts w:asciiTheme="minorHAnsi" w:hAnsiTheme="minorHAnsi" w:cstheme="minorHAnsi"/>
          <w:color w:val="000000"/>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01736D" w:rsidRPr="00687F57">
        <w:rPr>
          <w:rFonts w:asciiTheme="minorHAnsi" w:hAnsiTheme="minorHAnsi" w:cstheme="minorHAnsi"/>
          <w:b/>
          <w:bCs/>
        </w:rPr>
        <w:t>5</w:t>
      </w:r>
    </w:p>
    <w:p w:rsidR="0002236B" w:rsidRPr="00687F57" w:rsidRDefault="0002236B" w:rsidP="00687F57">
      <w:pPr>
        <w:spacing w:line="360" w:lineRule="auto"/>
        <w:rPr>
          <w:rFonts w:asciiTheme="minorHAnsi" w:hAnsiTheme="minorHAnsi" w:cstheme="minorHAnsi"/>
          <w:b/>
          <w:lang w:val="en-GB"/>
        </w:rPr>
      </w:pPr>
      <w:r w:rsidRPr="00687F57">
        <w:rPr>
          <w:rFonts w:asciiTheme="minorHAnsi" w:hAnsiTheme="minorHAnsi" w:cstheme="minorHAnsi"/>
          <w:b/>
        </w:rPr>
        <w:t>Ρυθμίσεις Οργανισμού Ελληνικών Γεωργικών Ασφαλίσεων (ΕΛ.Γ.Α.)</w:t>
      </w:r>
    </w:p>
    <w:p w:rsidR="0002236B" w:rsidRPr="00687F57" w:rsidRDefault="006C6A24" w:rsidP="003917A8">
      <w:pPr>
        <w:pStyle w:val="BodyText3"/>
        <w:spacing w:line="360" w:lineRule="auto"/>
        <w:outlineLvl w:val="0"/>
        <w:rPr>
          <w:rFonts w:asciiTheme="minorHAnsi" w:hAnsiTheme="minorHAnsi" w:cstheme="minorHAnsi"/>
          <w:b w:val="0"/>
          <w:bCs w:val="0"/>
          <w:szCs w:val="24"/>
        </w:rPr>
      </w:pPr>
      <w:r w:rsidRPr="00687F57">
        <w:rPr>
          <w:rFonts w:asciiTheme="minorHAnsi" w:hAnsiTheme="minorHAnsi" w:cstheme="minorHAnsi"/>
          <w:b w:val="0"/>
          <w:bCs w:val="0"/>
          <w:szCs w:val="24"/>
        </w:rPr>
        <w:t>Με την παρ. 1</w:t>
      </w:r>
      <w:r w:rsidR="0002236B" w:rsidRPr="00687F57">
        <w:rPr>
          <w:rFonts w:asciiTheme="minorHAnsi" w:hAnsiTheme="minorHAnsi" w:cstheme="minorHAnsi"/>
          <w:b w:val="0"/>
          <w:bCs w:val="0"/>
          <w:szCs w:val="24"/>
        </w:rPr>
        <w:t xml:space="preserve"> του προτεινόμενου άρθρου ρυθμίζονται θέματα που αφορούν τη νομική υπηρεσία του ΕΛ.Γ.Α.. Η νομική υπηρεσία του ΕΛ.Γ.Α. έχει ως έργο, μεταξύ άλλων, τη δικαστική και εξώδικη αντιμετώπιση των υποθέσεων του ΕΛ.Γ.Α. και τη γνωμοδότηση για κάθε θέμα που ανάγεται στην ερμηνεία και εφαρμογή των σχετικών με τον ΕΛ.Γ.Α. νόμων και κανονισμών μετά από ερωτήματα που τίθενται από τη διοίκηση του ΕΛ.Γ.Α. και από όλους τους προϊσταμένους των οργανικών μονάδων του ΕΛ.Γ.Α. μέσω της διοίκησης, την παροχή νομικών οδηγιών και κατευθύνσεων στις υπηρεσίες του ΕΛ.Γ.Α. για την ομοιόμορφη ερμηνεία και εφαρμογή των νόμων, κανονισμών και αποφάσεων της διοίκησης και την επεξεργασία της σχετικής νομοθεσίας και των κανονισμών του οργανισμού από νομικής άποψης και την εισήγηση για τις αναγκαίες τροποποιήσεις, συμπληρώσεις ή μεταβολές τους. </w:t>
      </w:r>
    </w:p>
    <w:p w:rsidR="0002236B" w:rsidRPr="00687F57" w:rsidRDefault="0002236B" w:rsidP="003917A8">
      <w:pPr>
        <w:pStyle w:val="BodyText3"/>
        <w:spacing w:line="360" w:lineRule="auto"/>
        <w:outlineLvl w:val="0"/>
        <w:rPr>
          <w:rFonts w:asciiTheme="minorHAnsi" w:hAnsiTheme="minorHAnsi" w:cstheme="minorHAnsi"/>
          <w:b w:val="0"/>
          <w:bCs w:val="0"/>
          <w:szCs w:val="24"/>
        </w:rPr>
      </w:pPr>
      <w:r w:rsidRPr="00687F57">
        <w:rPr>
          <w:rFonts w:asciiTheme="minorHAnsi" w:hAnsiTheme="minorHAnsi" w:cstheme="minorHAnsi"/>
          <w:b w:val="0"/>
          <w:bCs w:val="0"/>
          <w:szCs w:val="24"/>
        </w:rPr>
        <w:t xml:space="preserve">Κατά του ΕΛ.Γ.Α. ασκούνται πληθώρα αγωγών και προσφυγών ενώπιον των πολιτικών και διοικητικών δικαστηρίων, ενώ ταυτόχρονα εκκρεμούν ενώπιον των ποινικών δικαστηρίων όλης της χώρας ποινικές υποθέσεις, για τις οποίες ο ΕΛ.Γ.Α. καταθέτει δήλωση παράστασης πολιτικής αγωγής. Παράλληλα η νομική υπηρεσία, τα τελευταία έτη επιφορτίζεται διαρκώς με αυξανόμενο όγκο υπηρεσιακών θεμάτων του ΕΛ.Γ.Α., ιδίως λόγω των συχνών και ραγδαίων μεταβολών της </w:t>
      </w:r>
      <w:r w:rsidRPr="00687F57">
        <w:rPr>
          <w:rFonts w:asciiTheme="minorHAnsi" w:hAnsiTheme="minorHAnsi" w:cstheme="minorHAnsi"/>
          <w:b w:val="0"/>
          <w:bCs w:val="0"/>
          <w:szCs w:val="24"/>
        </w:rPr>
        <w:lastRenderedPageBreak/>
        <w:t>νομοθεσίας που καλούνται να εφαρμόσουν οι υπηρεσίες του ΕΛ.Γ.Α., για το σύνολο σχεδόν των οποίων απαιτ</w:t>
      </w:r>
      <w:r w:rsidR="006E3EFE" w:rsidRPr="00687F57">
        <w:rPr>
          <w:rFonts w:asciiTheme="minorHAnsi" w:hAnsiTheme="minorHAnsi" w:cstheme="minorHAnsi"/>
          <w:b w:val="0"/>
          <w:bCs w:val="0"/>
          <w:szCs w:val="24"/>
        </w:rPr>
        <w:t>ούν</w:t>
      </w:r>
      <w:r w:rsidRPr="00687F57">
        <w:rPr>
          <w:rFonts w:asciiTheme="minorHAnsi" w:hAnsiTheme="minorHAnsi" w:cstheme="minorHAnsi"/>
          <w:b w:val="0"/>
          <w:bCs w:val="0"/>
          <w:szCs w:val="24"/>
        </w:rPr>
        <w:t>ται η γνωμοδότηση και ο έλεγχος από τη νομική υπηρεσία.</w:t>
      </w:r>
    </w:p>
    <w:p w:rsidR="0002236B" w:rsidRPr="00687F57" w:rsidRDefault="0002236B" w:rsidP="003917A8">
      <w:pPr>
        <w:pStyle w:val="BodyText3"/>
        <w:spacing w:line="360" w:lineRule="auto"/>
        <w:outlineLvl w:val="0"/>
        <w:rPr>
          <w:rFonts w:asciiTheme="minorHAnsi" w:hAnsiTheme="minorHAnsi" w:cstheme="minorHAnsi"/>
          <w:b w:val="0"/>
          <w:bCs w:val="0"/>
          <w:szCs w:val="24"/>
        </w:rPr>
      </w:pPr>
      <w:r w:rsidRPr="00687F57">
        <w:rPr>
          <w:rFonts w:asciiTheme="minorHAnsi" w:hAnsiTheme="minorHAnsi" w:cstheme="minorHAnsi"/>
          <w:b w:val="0"/>
          <w:bCs w:val="0"/>
          <w:szCs w:val="24"/>
        </w:rPr>
        <w:t xml:space="preserve">Η νομική υπηρεσία του ΕΛ.Γ.Α. στελεχώνεται σήμερα μόνο από τη νομική σύμβουλο και μία (1) δικηγόρο με έμμισθη εντολή, παρόλο που ο όγκος εργασιών της νομικής υπηρεσίας του οργανισμού έχει  πολλαπλασιαστεί και το αντικείμενο εργασίας είναι ιδιαίτερα εξειδικευμένο. </w:t>
      </w:r>
    </w:p>
    <w:p w:rsidR="0002236B" w:rsidRPr="00687F57" w:rsidRDefault="00687F57" w:rsidP="003917A8">
      <w:pPr>
        <w:pStyle w:val="BodyText3"/>
        <w:spacing w:line="360" w:lineRule="auto"/>
        <w:outlineLvl w:val="0"/>
        <w:rPr>
          <w:rFonts w:asciiTheme="minorHAnsi" w:hAnsiTheme="minorHAnsi" w:cstheme="minorHAnsi"/>
          <w:b w:val="0"/>
          <w:bCs w:val="0"/>
          <w:szCs w:val="24"/>
        </w:rPr>
      </w:pPr>
      <w:r>
        <w:rPr>
          <w:rFonts w:asciiTheme="minorHAnsi" w:hAnsiTheme="minorHAnsi" w:cstheme="minorHAnsi"/>
          <w:b w:val="0"/>
          <w:bCs w:val="0"/>
          <w:szCs w:val="24"/>
        </w:rPr>
        <w:t xml:space="preserve">Κατόπιν των ανωτέρω, </w:t>
      </w:r>
      <w:r w:rsidR="0002236B" w:rsidRPr="00687F57">
        <w:rPr>
          <w:rFonts w:asciiTheme="minorHAnsi" w:hAnsiTheme="minorHAnsi" w:cstheme="minorHAnsi"/>
          <w:b w:val="0"/>
          <w:bCs w:val="0"/>
          <w:szCs w:val="24"/>
        </w:rPr>
        <w:t xml:space="preserve">κρίνεται απαραίτητη η σύσταση δύο (2) επιπλέον θέσεων δικηγόρων με έμμισθη εντολή. Η δαπάνη, τέλος, που θα προκύψει από την πρόσληψη των δικηγόρων θα βαρύνει αποκλειστικά τους ίδιους πόρους του ΕΛ.Γ.Α.. </w:t>
      </w:r>
    </w:p>
    <w:p w:rsidR="0002236B" w:rsidRPr="00687F57" w:rsidRDefault="006C6A24" w:rsidP="003917A8">
      <w:pPr>
        <w:pStyle w:val="BodyText3"/>
        <w:spacing w:line="360" w:lineRule="auto"/>
        <w:outlineLvl w:val="0"/>
        <w:rPr>
          <w:rFonts w:asciiTheme="minorHAnsi" w:hAnsiTheme="minorHAnsi" w:cstheme="minorHAnsi"/>
          <w:b w:val="0"/>
          <w:bCs w:val="0"/>
          <w:szCs w:val="24"/>
        </w:rPr>
      </w:pPr>
      <w:r w:rsidRPr="00687F57">
        <w:rPr>
          <w:rFonts w:asciiTheme="minorHAnsi" w:hAnsiTheme="minorHAnsi" w:cstheme="minorHAnsi"/>
          <w:b w:val="0"/>
          <w:szCs w:val="24"/>
        </w:rPr>
        <w:t>Με την παρ. 2</w:t>
      </w:r>
      <w:r w:rsidR="0002236B" w:rsidRPr="00687F57">
        <w:rPr>
          <w:rFonts w:asciiTheme="minorHAnsi" w:hAnsiTheme="minorHAnsi" w:cstheme="minorHAnsi"/>
          <w:b w:val="0"/>
          <w:szCs w:val="24"/>
        </w:rPr>
        <w:t xml:space="preserve"> του προτει</w:t>
      </w:r>
      <w:r w:rsidR="00687F57">
        <w:rPr>
          <w:rFonts w:asciiTheme="minorHAnsi" w:hAnsiTheme="minorHAnsi" w:cstheme="minorHAnsi"/>
          <w:b w:val="0"/>
          <w:szCs w:val="24"/>
        </w:rPr>
        <w:t xml:space="preserve">νόμενου άρθρου εξορθολογίζεται </w:t>
      </w:r>
      <w:r w:rsidR="0002236B" w:rsidRPr="00687F57">
        <w:rPr>
          <w:rFonts w:asciiTheme="minorHAnsi" w:hAnsiTheme="minorHAnsi" w:cstheme="minorHAnsi"/>
          <w:b w:val="0"/>
          <w:szCs w:val="24"/>
        </w:rPr>
        <w:t xml:space="preserve">και εξομοιώνεται η νομοθεσία, όσον αφορά την μη υποχρέωση σε αναστολή του δικηγορικού επαγγέλματος ή άλλου ελεύθερου επαγγέλματος, σε περίπτωση που απασχοληθεί σε θέση ειδικού συμβούλου στο γραφείο Προέδρου του ΕΛ.Γ.Α. με σχέση εργασίας ιδιωτικού δικαίου δικηγόρος ή άλλος ελεύθερος επαγγελματίας, αντίστοιχα. </w:t>
      </w:r>
      <w:r w:rsidR="006E3EFE" w:rsidRPr="00687F57">
        <w:rPr>
          <w:rFonts w:asciiTheme="minorHAnsi" w:hAnsiTheme="minorHAnsi" w:cstheme="minorHAnsi"/>
          <w:b w:val="0"/>
          <w:szCs w:val="24"/>
        </w:rPr>
        <w:t xml:space="preserve">Η προτεινόμενη διάταξη εναρμονίζεται προς τα ισχύοντα </w:t>
      </w:r>
      <w:r w:rsidR="0002236B" w:rsidRPr="00687F57">
        <w:rPr>
          <w:rFonts w:asciiTheme="minorHAnsi" w:hAnsiTheme="minorHAnsi" w:cstheme="minorHAnsi"/>
          <w:b w:val="0"/>
          <w:szCs w:val="24"/>
        </w:rPr>
        <w:t xml:space="preserve">για τις θέσεις ειδικών συμβούλων σε </w:t>
      </w:r>
      <w:r w:rsidR="006E3EFE" w:rsidRPr="00687F57">
        <w:rPr>
          <w:rFonts w:asciiTheme="minorHAnsi" w:hAnsiTheme="minorHAnsi" w:cstheme="minorHAnsi"/>
          <w:b w:val="0"/>
          <w:szCs w:val="24"/>
        </w:rPr>
        <w:t>ιδιαίτερα</w:t>
      </w:r>
      <w:r w:rsidR="0002236B" w:rsidRPr="00687F57">
        <w:rPr>
          <w:rFonts w:asciiTheme="minorHAnsi" w:hAnsiTheme="minorHAnsi" w:cstheme="minorHAnsi"/>
          <w:b w:val="0"/>
          <w:szCs w:val="24"/>
        </w:rPr>
        <w:t xml:space="preserve"> γραφεία Υπουργών, Γενικών Γραμματέων κ.ο.κ..</w:t>
      </w:r>
    </w:p>
    <w:p w:rsidR="00060EFD" w:rsidRPr="00687F57" w:rsidRDefault="00060EFD" w:rsidP="003917A8">
      <w:pPr>
        <w:pStyle w:val="NormalWeb"/>
        <w:spacing w:line="360" w:lineRule="auto"/>
        <w:jc w:val="both"/>
        <w:rPr>
          <w:rFonts w:asciiTheme="minorHAnsi" w:hAnsiTheme="minorHAnsi" w:cstheme="minorHAnsi"/>
        </w:rPr>
      </w:pPr>
    </w:p>
    <w:p w:rsidR="00085297"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01736D" w:rsidRPr="00687F57">
        <w:rPr>
          <w:rFonts w:asciiTheme="minorHAnsi" w:hAnsiTheme="minorHAnsi" w:cstheme="minorHAnsi"/>
          <w:b/>
          <w:bCs/>
        </w:rPr>
        <w:t>6</w:t>
      </w:r>
    </w:p>
    <w:p w:rsidR="0002236B" w:rsidRPr="00687F57" w:rsidRDefault="0002236B" w:rsidP="00687F57">
      <w:pPr>
        <w:spacing w:line="360" w:lineRule="auto"/>
        <w:rPr>
          <w:rFonts w:asciiTheme="minorHAnsi" w:hAnsiTheme="minorHAnsi" w:cstheme="minorHAnsi"/>
          <w:b/>
          <w:lang w:val="en-GB"/>
        </w:rPr>
      </w:pPr>
      <w:r w:rsidRPr="00687F57">
        <w:rPr>
          <w:rFonts w:asciiTheme="minorHAnsi" w:hAnsiTheme="minorHAnsi" w:cstheme="minorHAnsi"/>
          <w:b/>
          <w:bCs/>
        </w:rPr>
        <w:t>Ρυθμίσεις Γεωτεχνικού Επιμελητηρίου Ελλάδος (</w:t>
      </w:r>
      <w:r w:rsidRPr="00687F57">
        <w:rPr>
          <w:rFonts w:asciiTheme="minorHAnsi" w:hAnsiTheme="minorHAnsi" w:cstheme="minorHAnsi"/>
          <w:b/>
        </w:rPr>
        <w:t>ΓΕΩΤ.Ε.Ε.)</w:t>
      </w:r>
    </w:p>
    <w:p w:rsidR="0002236B" w:rsidRPr="00687F57" w:rsidRDefault="00687F57" w:rsidP="003917A8">
      <w:pPr>
        <w:spacing w:line="360" w:lineRule="auto"/>
        <w:jc w:val="both"/>
        <w:rPr>
          <w:rFonts w:asciiTheme="minorHAnsi" w:hAnsiTheme="minorHAnsi" w:cstheme="minorHAnsi"/>
        </w:rPr>
      </w:pPr>
      <w:r>
        <w:rPr>
          <w:rFonts w:asciiTheme="minorHAnsi" w:hAnsiTheme="minorHAnsi" w:cstheme="minorHAnsi"/>
        </w:rPr>
        <w:t xml:space="preserve">1. Με την περ. α΄ της </w:t>
      </w:r>
      <w:r w:rsidR="0002236B" w:rsidRPr="00687F57">
        <w:rPr>
          <w:rFonts w:asciiTheme="minorHAnsi" w:hAnsiTheme="minorHAnsi" w:cstheme="minorHAnsi"/>
        </w:rPr>
        <w:t>παρ. 1 του προτεινόμενου άρθρου αντικαθίσταται η παρ. 3 του άρθρου 6 του ν. 1474/1984</w:t>
      </w:r>
      <w:r w:rsidR="006E3EFE" w:rsidRPr="00687F57">
        <w:rPr>
          <w:rFonts w:asciiTheme="minorHAnsi" w:hAnsiTheme="minorHAnsi" w:cstheme="minorHAnsi"/>
        </w:rPr>
        <w:t>,</w:t>
      </w:r>
      <w:r w:rsidR="0002236B" w:rsidRPr="00687F57">
        <w:rPr>
          <w:rFonts w:asciiTheme="minorHAnsi" w:hAnsiTheme="minorHAnsi" w:cstheme="minorHAnsi"/>
        </w:rPr>
        <w:t xml:space="preserve"> προκειμένου να επανακαθορισθεί ο χρόνος διενέργειας των εκλογών για την ανάδειξη των οργάνων διοίκησης του Γεωτεχνικού Επιμελητηρίου της Ελλάδας (ΓΕΩΤ.Ε.Ε.), ήτοι του Διοικητικού Συμβουλίου, των Διοικουσών Επιτροπών των περιφερειακών παραρτημάτων, της Γενικής Συνέλευσης των Αντιπροσώπων των κλάδων και των Συνελεύσεων αντιπροσώπων των περιφερειακών παραρτημάτων,  σε τέσσερα (4) χρόνια, αντί για τρία (3) που ισχύει σήμερα.</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 xml:space="preserve">Με τη συγκεκριμένη τροποποίηση εναρμονίζεται η θητεία των μελών των οργάνων διοίκησης του ΓΕΩΤ.Ε.Ε. της προηγούμενης παραγράφου με τις διατάξεις του ν. 4635/2019 (Α΄ 167) και ιδιαίτερα με τα άρθρα 222 και 223, σύμφωνα με τα οποία η </w:t>
      </w:r>
      <w:r w:rsidRPr="00687F57">
        <w:rPr>
          <w:rFonts w:asciiTheme="minorHAnsi" w:hAnsiTheme="minorHAnsi" w:cstheme="minorHAnsi"/>
        </w:rPr>
        <w:lastRenderedPageBreak/>
        <w:t>θητεία των οργάνων διοίκησης του Τεχνικού Επιμελητηρίου Ελλάδας (ΤΕΕ)</w:t>
      </w:r>
      <w:r w:rsidR="006E3EFE" w:rsidRPr="00687F57">
        <w:rPr>
          <w:rFonts w:asciiTheme="minorHAnsi" w:hAnsiTheme="minorHAnsi" w:cstheme="minorHAnsi"/>
        </w:rPr>
        <w:t>,</w:t>
      </w:r>
      <w:r w:rsidRPr="00687F57">
        <w:rPr>
          <w:rFonts w:asciiTheme="minorHAnsi" w:hAnsiTheme="minorHAnsi" w:cstheme="minorHAnsi"/>
        </w:rPr>
        <w:t xml:space="preserve"> καθώς και του Οικονομικού Επιμελητηρίου Ελλάδας (ΟΕΕ), γίνεται τετραετής. Επιπλέον, δίνεται η δυνατότητα σε όλα τα όργανα διοίκησης να κάνουν αρτιότερο μακροπρόθεσμο σχεδιασμό δραστηριοτήτων και να διαθέτουν ικανά χρονικά περιθώρια υλοποίησης του προγραμματισμό τους. </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Με την περ. β΄ της παρ. 1 του προτεινόμενου άρθρου προστίθεται παρ. 6 στο άρθρο 6 του ν. 1484/1974, προκειμένου: α) να τροποποιηθεί η θητεία των οργάνων του ΓΕΩΤ.Ε.Ε από τριετής σε τετραετής, καθώς και να τροποποιηθεί ο χρόνος διενέργειας εκλογών για την ανάδειξη των ανωτέρω οργάνων από τρία (3) σε τέσσερα (4) έτη. Σημειώνεται ότι οι διατάξεις του ν. 1474/1984 στις οποίες προβλέπεται τριετής θητεία των οργάνων ή διενέργεια εκλογών κάθε τρία (3) χρόνια είναι οι ακόλουθες: α) η παρ. 2 του άρθρου 7, β) η παρ. 2 και η παρ. 6 του άρθρου 8, γ) η παρ. 1 και η παρ. 2 του άρθρου 10, δ) η παρ. 2 και η παρ. 3 του άρθρου 11 και ε) η παρ. 1 του άρθρου 12,</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β) να αποσαφηνισθεί ότι οι επόμενες αρχαιρεσίες για την ανάδειξη των μελών των οργάνων διοίκησης του Επιμελητηρίου που έχουν εκλεγεί με τις αρχαιρεσίες της 22.4.2018, θα πραγματοποιηθούν κατά το χρονικό διάστημα από την 1</w:t>
      </w:r>
      <w:r w:rsidR="006B0582" w:rsidRPr="00687F57">
        <w:rPr>
          <w:rFonts w:asciiTheme="minorHAnsi" w:hAnsiTheme="minorHAnsi" w:cstheme="minorHAnsi"/>
        </w:rPr>
        <w:t>η</w:t>
      </w:r>
      <w:r w:rsidRPr="00687F57">
        <w:rPr>
          <w:rFonts w:asciiTheme="minorHAnsi" w:hAnsiTheme="minorHAnsi" w:cstheme="minorHAnsi"/>
        </w:rPr>
        <w:t>.10.2022 έως και τις 31.12.2022 και ότι η θητεία των μελών όλων των οργάνων του ΓΕΩ.Τ.Ε.Ε. θα παραταθεί μέχρι την εκλογή νέων μελών, σύμφωνα με την παράγραφο αυτή.</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2. Με την παρ. 2 του προτεινόμενου άρθρου αντικαθίσταται το τελευταίο εδάφιο της περ. β΄ της παρ. 1 του άρθρου 13 του ν. 1474/1984 προκειμένου να επαναπροσδιοριστεί το όργανο το οποίο εισηγείται το ύψος της ετήσιας συνδρομής και του δικαιώματος εγγραφής στο ΓΕΩΤ.Ε.Ε.. Συγκεκριμένα ορίζεται ως αρμόδιο για τη λήψη της εν λόγω απόφασης το Διοικητικό Συμβούλιο (Δ.Σ.)</w:t>
      </w:r>
      <w:r w:rsidR="0018396E" w:rsidRPr="00687F57">
        <w:rPr>
          <w:rFonts w:asciiTheme="minorHAnsi" w:hAnsiTheme="minorHAnsi" w:cstheme="minorHAnsi"/>
        </w:rPr>
        <w:t>,</w:t>
      </w:r>
      <w:r w:rsidRPr="00687F57">
        <w:rPr>
          <w:rFonts w:asciiTheme="minorHAnsi" w:hAnsiTheme="minorHAnsi" w:cstheme="minorHAnsi"/>
        </w:rPr>
        <w:t xml:space="preserve"> αντί της Γενικής Συνέλευσης των Αντιπροσώπων που ισχύει σήμερα. </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Η προτεινόμενη τροποποίηση κρίνεται αναγκαία διότι η Γενική Συνέλευση, λόγω του αριθμού των μελών της (περισσότερα από 1.100), είναι όργανο δυσλειτουργικό και οι συνεδριάσεις του συνεπάγονται μεγάλο κόστος για το Επιμελητήριο ενώ το χαμηλό κόστος λειτουργίας του Δ.Σ. που αποτελείται από 15 μέλη, το γεγονός ότι σε αυτό συμμετέχουν μέλη από όλους τους κλάδους του Επιμελητηρίου, καθώς και η καθημερινή σχεδόν ενασχόληση των μελών</w:t>
      </w:r>
      <w:r w:rsidR="0018396E" w:rsidRPr="00687F57">
        <w:rPr>
          <w:rFonts w:asciiTheme="minorHAnsi" w:hAnsiTheme="minorHAnsi" w:cstheme="minorHAnsi"/>
        </w:rPr>
        <w:t xml:space="preserve"> </w:t>
      </w:r>
      <w:r w:rsidRPr="00687F57">
        <w:rPr>
          <w:rFonts w:asciiTheme="minorHAnsi" w:hAnsiTheme="minorHAnsi" w:cstheme="minorHAnsi"/>
        </w:rPr>
        <w:t xml:space="preserve">με τα θέματα του Επιμελητηρίου, που τους επιτρέπει να έχουν ολοκληρωμένη εικόνα για τις ανάγκες, τις δυνατότητες και </w:t>
      </w:r>
      <w:r w:rsidRPr="00687F57">
        <w:rPr>
          <w:rFonts w:asciiTheme="minorHAnsi" w:hAnsiTheme="minorHAnsi" w:cstheme="minorHAnsi"/>
        </w:rPr>
        <w:lastRenderedPageBreak/>
        <w:t xml:space="preserve">τις υποχρεώσεις του, τα καθιστά τα πλέον κατάλληλα για τη λήψη της παρούσας απόφασης, καθώς μπορούν να εκτιμήσουν την αναγκαιότητα ή όχι της </w:t>
      </w:r>
      <w:r w:rsidR="006B0582" w:rsidRPr="00687F57">
        <w:rPr>
          <w:rFonts w:asciiTheme="minorHAnsi" w:hAnsiTheme="minorHAnsi" w:cstheme="minorHAnsi"/>
        </w:rPr>
        <w:t xml:space="preserve">αναπροσαρμογής </w:t>
      </w:r>
      <w:r w:rsidRPr="00687F57">
        <w:rPr>
          <w:rFonts w:asciiTheme="minorHAnsi" w:hAnsiTheme="minorHAnsi" w:cstheme="minorHAnsi"/>
        </w:rPr>
        <w:t>του δικαιώματος εγγραφής ή του ύψους της συνδρομής στο Επιμελητήριο. Με τον τρόπο αυτό εξασφαλίζ</w:t>
      </w:r>
      <w:r w:rsidR="006B0582" w:rsidRPr="00687F57">
        <w:rPr>
          <w:rFonts w:asciiTheme="minorHAnsi" w:hAnsiTheme="minorHAnsi" w:cstheme="minorHAnsi"/>
        </w:rPr>
        <w:t>ον</w:t>
      </w:r>
      <w:r w:rsidRPr="00687F57">
        <w:rPr>
          <w:rFonts w:asciiTheme="minorHAnsi" w:hAnsiTheme="minorHAnsi" w:cstheme="minorHAnsi"/>
        </w:rPr>
        <w:t>ται η οικονομική βιωσιμότητα και η εύρυθμη λειτουργία του ΓΕΩΤ.Ε.Ε. και η εκπλήρωση συγκεκριμένων υποχρεώσεων προς την πολιτεία, τους πολίτες και τους γεωτεχνικούς.</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 xml:space="preserve">3. Με την παρ. 3 του προτεινόμενου άρθρου αντικαθίσταται η παρ. 1 και </w:t>
      </w:r>
      <w:r w:rsidRPr="00687F57">
        <w:rPr>
          <w:rFonts w:asciiTheme="minorHAnsi" w:hAnsiTheme="minorHAnsi" w:cstheme="minorHAnsi"/>
          <w:color w:val="0D0D0D"/>
        </w:rPr>
        <w:t>καταργείται η παρ.</w:t>
      </w:r>
      <w:r w:rsidRPr="00687F57">
        <w:rPr>
          <w:rFonts w:asciiTheme="minorHAnsi" w:hAnsiTheme="minorHAnsi" w:cstheme="minorHAnsi"/>
        </w:rPr>
        <w:t xml:space="preserve"> 2 του άρθρου 18 του ν. 1474/1984</w:t>
      </w:r>
      <w:r w:rsidR="006B0582" w:rsidRPr="00687F57">
        <w:rPr>
          <w:rFonts w:asciiTheme="minorHAnsi" w:hAnsiTheme="minorHAnsi" w:cstheme="minorHAnsi"/>
        </w:rPr>
        <w:t>,</w:t>
      </w:r>
      <w:r w:rsidRPr="00687F57">
        <w:rPr>
          <w:rFonts w:asciiTheme="minorHAnsi" w:hAnsiTheme="minorHAnsi" w:cstheme="minorHAnsi"/>
        </w:rPr>
        <w:t xml:space="preserve"> προκειμένου να επαναπροσδιοριστεί το όργανο που εισηγείται τον τρόπο και τις διαδικασίες με τις οποίες αναγνωρίζονται και καταβάλλονται τα έξοδα παράστασης στα μέλη του Διοικητικού Συμβουλίου (Δ.Σ.) και των Διοικουσών Επιτροπών (Δ.Ε.) του ΓΕΩΤ.Ε.Ε. Πιο συγκεκριμένα, σύμφωνα με τις διατάξεις των παρ. 1 και 2 του άρθρου 18 του ν. 1474/1984, περιλαμβάνονται στους δικαιούχους εξόδων παράστασης και τα μέλη του Δ.Σ. και των Δ.Ε. των περιφερειακών παραρτημάτων του ΓΕΩΤ.Ε.Ε., ενώ ορίζεται η Γενική Συνέλευση ως το όργανο που προτείνει προς τους Υπουργούς Οικονομικών και Αγροτικής Ανάπτυξης και Τροφίμων, το ύψος των εξόδων παράστασης που καταβάλλονται στους ως άνω δικαιούχους. Με την προτεινόμενη τροποποίηση</w:t>
      </w:r>
      <w:r w:rsidR="006B0582" w:rsidRPr="00687F57">
        <w:rPr>
          <w:rFonts w:asciiTheme="minorHAnsi" w:hAnsiTheme="minorHAnsi" w:cstheme="minorHAnsi"/>
        </w:rPr>
        <w:t>,</w:t>
      </w:r>
      <w:r w:rsidRPr="00687F57">
        <w:rPr>
          <w:rFonts w:asciiTheme="minorHAnsi" w:hAnsiTheme="minorHAnsi" w:cstheme="minorHAnsi"/>
        </w:rPr>
        <w:t xml:space="preserve"> αντί της Γενικής Συνέλευσης, ορίζεται αρμόδιο όργανο για την παραπάνω πρόταση το Συντονιστικό Συμβούλιο (Σ.Σ.), ενώ ταυτόχρονα προβλέπεται ότι δικαιούχοι εξόδων παράστασης είναι μόνο ο Πρόεδρος, οι Αντιπρόεδροι Α΄ και Β΄, ο Γενικός Γραμματέας, ο Οργανωτικός Γραμματέας και ο Ταμίας του Δ.Σ. του ΓΕΩΤ.Ε.Ε., καθώς και οι Πρόεδροι των Δ.Ε. των περιφερειακών παραρτημάτων.</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Η προτεινόμενη τροποποίηση κρίνεται αναγκαία διότι:</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 xml:space="preserve">α) Η Γενική Συνέλευση, λόγω του αριθμού των μελών της (περισσότερα από 1.100), είναι όργανο δυσλειτουργικό και οι συνεδριάσεις του συνεπάγονται μεγάλο κόστος για το ΓΕΩΤ.Ε.Ε.. Αυτός άλλωστε είναι και ο λόγος, σε συνδυασμό και με τους περιορισμένους διαθέσιμους οικονομικούς πόρους του ΓΕΩΤ.Ε.Ε., που τα τελευταία χρόνια έχει ατονήσει η λειτουργία της. Αντίθετα, το Σ.Σ. αποτελεί μικρότερο όργανο (45 μέλη), συγκαλείται τακτικά δύο φορές το χρόνο και σ’ αυτό συμμετέχουν τόσο τα μέλη του Δ.Σ., όσο και μέλη όλων των Διοικουσών Επιτροπών των περιφερειακών παραρτημάτων του ΓΕΩΤ.Ε.Ε.. Κατά συνέπεια, διαθέτει ευρεία αντιπροσώπευση και άρα μπορεί να προβεί στη λήψη αποφάσεων που αφορούν τόσο τα μέλη του Δ.Σ. </w:t>
      </w:r>
      <w:r w:rsidRPr="00687F57">
        <w:rPr>
          <w:rFonts w:asciiTheme="minorHAnsi" w:hAnsiTheme="minorHAnsi" w:cstheme="minorHAnsi"/>
        </w:rPr>
        <w:lastRenderedPageBreak/>
        <w:t xml:space="preserve">όσο και τα μέλη των Δ.Ε. του ΓΕΩΤ.Ε.Ε., το δε κόστος σύγκλησής του, λόγω του μικρού αριθμού μελών, είναι μικρότερο συγκριτικά με το αντίστοιχο κόστος σύγκλησης της Γενικής Συνέλευσης. Η τακτικότητα των συνεδριάσεων, το χαμηλό κόστος λειτουργίας, αλλά και η ευρεία, σχετικά, αντιπροσώπευση που διαθέτει, καθιστούν το Σ.Σ. το πλέον κατάλληλο όργανο για να προτείνει το ύψος των εξόδων παράστασης των μελών του Δ.Σ. και των Δ.Ε. του ΓΕΩΤ.Ε.Ε.. Κατά συνέπεια, εξασφαλίζεται η αντιμετώπιση ζητημάτων που προκύπτουν και παραμένουν άλυτα επί σειρά ετών ενώ εξασφαλίζεται η αντιπροσώπευση των κλάδων μειώνοντας ταυτόχρονα τις πιθανότητες αυθαιρεσιών.  </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β) Οι περιορισμένες οικονομικές δυνατότητες του ΓΕΩΤ.Ε.Ε., δεν επιτρέπουν την καταβολή εξόδων παράστασης στο σύνολο των μελών του Δ.Σ και των Δ.Ε. του Επιμελητηρίου. Λαμβανομένου, όμως, υπόψιν ότι τα εν λόγω έξοδα βοηθούν σημαντικά την προώθηση των σκοπών και στόχων του Επιμελητηρίου και την καλύτερη προβολή του έργου του, προτείνεται η καταβολή εξόδων παράστασης μόνο στον Πρόεδρο, στους Αντιπροέδρους Α΄ και Β΄, στον Γενικό Γραμματέα, στον Οργανωτικό Γραμματέα και στον Ταμία του Δ.Σ. του ΓΕΩΤ.Ε.Ε., καθώς και στους Προέδρους των Δ.Ε. των περιφερειακών παραρτημάτων, κόστος το οποίο εκτιμάται ότι, στην παρούσα φάση, μπορεί να αντιμετωπιστεί από το Επιμελητήριο.</w:t>
      </w:r>
    </w:p>
    <w:p w:rsidR="0026060E" w:rsidRPr="00687F57" w:rsidRDefault="0026060E" w:rsidP="003917A8">
      <w:pPr>
        <w:spacing w:line="360" w:lineRule="auto"/>
        <w:rPr>
          <w:rFonts w:asciiTheme="minorHAnsi" w:hAnsiTheme="minorHAnsi" w:cstheme="minorHAnsi"/>
          <w:b/>
          <w:bCs/>
          <w:color w:val="FF0000"/>
          <w:lang w:val="en-GB"/>
        </w:rPr>
      </w:pPr>
    </w:p>
    <w:p w:rsidR="0002236B" w:rsidRPr="00687F57" w:rsidRDefault="0002236B" w:rsidP="003917A8">
      <w:pPr>
        <w:spacing w:line="360" w:lineRule="auto"/>
        <w:rPr>
          <w:rFonts w:asciiTheme="minorHAnsi" w:hAnsiTheme="minorHAnsi" w:cstheme="minorHAnsi"/>
          <w:b/>
          <w:bCs/>
        </w:rPr>
      </w:pPr>
      <w:r w:rsidRPr="00687F57">
        <w:rPr>
          <w:rFonts w:asciiTheme="minorHAnsi" w:hAnsiTheme="minorHAnsi" w:cstheme="minorHAnsi"/>
          <w:b/>
          <w:bCs/>
        </w:rPr>
        <w:t>ΚΕΦΑΛΑΙΟ ΣΤ΄</w:t>
      </w:r>
    </w:p>
    <w:p w:rsidR="0002236B" w:rsidRPr="00687F57" w:rsidRDefault="0002236B" w:rsidP="007B7F97">
      <w:pPr>
        <w:spacing w:line="360" w:lineRule="auto"/>
        <w:rPr>
          <w:rFonts w:asciiTheme="minorHAnsi" w:hAnsiTheme="minorHAnsi" w:cstheme="minorHAnsi"/>
          <w:b/>
        </w:rPr>
      </w:pPr>
      <w:r w:rsidRPr="00687F57">
        <w:rPr>
          <w:rFonts w:asciiTheme="minorHAnsi" w:hAnsiTheme="minorHAnsi" w:cstheme="minorHAnsi"/>
          <w:b/>
        </w:rPr>
        <w:t xml:space="preserve">ΟΙΚΟΝΟΜΙΚΕΣ ΚΑΙ ΛΟΙΠΕΣ ΡΥΘΜΙΣΕΙΣ  </w:t>
      </w:r>
    </w:p>
    <w:p w:rsidR="0002236B" w:rsidRPr="00687F57" w:rsidRDefault="0002236B" w:rsidP="007B7F97">
      <w:pPr>
        <w:spacing w:line="360" w:lineRule="auto"/>
        <w:rPr>
          <w:rFonts w:asciiTheme="minorHAnsi" w:hAnsiTheme="minorHAnsi" w:cstheme="minorHAnsi"/>
          <w:b/>
          <w:bCs/>
        </w:rPr>
      </w:pPr>
    </w:p>
    <w:p w:rsidR="0002236B" w:rsidRPr="00687F57" w:rsidRDefault="0002236B" w:rsidP="0062075E">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26060E" w:rsidRPr="00687F57">
        <w:rPr>
          <w:rFonts w:asciiTheme="minorHAnsi" w:hAnsiTheme="minorHAnsi" w:cstheme="minorHAnsi"/>
          <w:b/>
          <w:bCs/>
        </w:rPr>
        <w:t>7</w:t>
      </w:r>
    </w:p>
    <w:p w:rsidR="0002236B" w:rsidRPr="00687F57" w:rsidRDefault="0002236B" w:rsidP="00687F57">
      <w:pPr>
        <w:spacing w:line="360" w:lineRule="auto"/>
        <w:rPr>
          <w:rFonts w:asciiTheme="minorHAnsi" w:hAnsiTheme="minorHAnsi" w:cstheme="minorHAnsi"/>
          <w:b/>
          <w:bCs/>
          <w:lang w:val="en-GB"/>
        </w:rPr>
      </w:pPr>
      <w:r w:rsidRPr="00687F57">
        <w:rPr>
          <w:rFonts w:asciiTheme="minorHAnsi" w:hAnsiTheme="minorHAnsi" w:cstheme="minorHAnsi"/>
          <w:b/>
          <w:bCs/>
        </w:rPr>
        <w:t xml:space="preserve">Εκτέλεση αποφάσεων Ευρωπαϊκής Επιτροπής </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 xml:space="preserve">Οι διατάξεις του προτεινόμενου άρθρου αφορούν τη διαδικασία ανάκτησης από αγροτικές συνεταιριστικές οργανώσεις των ενισχύσεων των κατωτέρω περιπτώσεων α΄ και β΄ που κρίθηκαν μη συμβατές με το ενωσιακό δίκαιο. Ειδικότερα: </w:t>
      </w:r>
    </w:p>
    <w:p w:rsidR="0002236B" w:rsidRPr="00687F57" w:rsidRDefault="0002236B" w:rsidP="004840FB">
      <w:pPr>
        <w:pStyle w:val="ListParagraph"/>
        <w:spacing w:after="0" w:line="360" w:lineRule="auto"/>
        <w:ind w:left="0"/>
        <w:jc w:val="both"/>
        <w:rPr>
          <w:rFonts w:asciiTheme="minorHAnsi" w:hAnsiTheme="minorHAnsi" w:cstheme="minorHAnsi"/>
          <w:sz w:val="24"/>
          <w:szCs w:val="24"/>
        </w:rPr>
      </w:pPr>
      <w:r w:rsidRPr="00687F57">
        <w:rPr>
          <w:rFonts w:asciiTheme="minorHAnsi" w:hAnsiTheme="minorHAnsi" w:cstheme="minorHAnsi"/>
          <w:sz w:val="24"/>
          <w:szCs w:val="24"/>
        </w:rPr>
        <w:t>α) Σύμφωνα με την απόφαση 2002/458/ΕΚ</w:t>
      </w:r>
      <w:r w:rsidR="009B31F0" w:rsidRPr="00687F57">
        <w:rPr>
          <w:rFonts w:asciiTheme="minorHAnsi" w:hAnsiTheme="minorHAnsi" w:cstheme="minorHAnsi"/>
          <w:sz w:val="24"/>
          <w:szCs w:val="24"/>
        </w:rPr>
        <w:t xml:space="preserve"> της Επιτροπής</w:t>
      </w:r>
      <w:r w:rsidRPr="00687F57">
        <w:rPr>
          <w:rFonts w:asciiTheme="minorHAnsi" w:hAnsiTheme="minorHAnsi" w:cstheme="minorHAnsi"/>
          <w:sz w:val="24"/>
          <w:szCs w:val="24"/>
        </w:rPr>
        <w:t xml:space="preserve"> της 1ης Μαρτίου 2002 (ΕΕ </w:t>
      </w:r>
      <w:r w:rsidRPr="00687F57">
        <w:rPr>
          <w:rFonts w:asciiTheme="minorHAnsi" w:hAnsiTheme="minorHAnsi" w:cstheme="minorHAnsi"/>
          <w:sz w:val="24"/>
          <w:szCs w:val="24"/>
          <w:lang w:val="en-US"/>
        </w:rPr>
        <w:t>L</w:t>
      </w:r>
      <w:r w:rsidRPr="00687F57">
        <w:rPr>
          <w:rFonts w:asciiTheme="minorHAnsi" w:hAnsiTheme="minorHAnsi" w:cstheme="minorHAnsi"/>
          <w:sz w:val="24"/>
          <w:szCs w:val="24"/>
        </w:rPr>
        <w:t xml:space="preserve"> 159, 17.06.2002), οι ενισχύσεις που δόθηκαν κατά τα έτη 1992 και 1994, με σκοπό τη ρύθμιση χρεών γεωργικών συνεταιρισμών, συμπεριλαμβανομένων των ενισχύσεων για την αναδιοργάνωση της γαλακτοκομικής συνεταιριστικής επιχείρησης «ΑΓΝΟ», κηρύχθηκαν ασύμβατες με την κοινή αγορά. </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lastRenderedPageBreak/>
        <w:t xml:space="preserve">Ειδικότερα, στην παρ. 2 του άρθρου 1 της ανωτέρω απόφασης προβλέπεται, μεταξύ άλλων, ότι αποτελούν κρατικές ενισχύσεις και δεν συμβιβάζονται με την κοινή αγορά: α) το άρθρο 32 παράγραφος 2 του </w:t>
      </w:r>
      <w:r w:rsidR="009B31F0" w:rsidRPr="00687F57">
        <w:rPr>
          <w:rFonts w:asciiTheme="minorHAnsi" w:hAnsiTheme="minorHAnsi" w:cstheme="minorHAnsi"/>
        </w:rPr>
        <w:t xml:space="preserve">ν. </w:t>
      </w:r>
      <w:r w:rsidRPr="00687F57">
        <w:rPr>
          <w:rFonts w:asciiTheme="minorHAnsi" w:hAnsiTheme="minorHAnsi" w:cstheme="minorHAnsi"/>
        </w:rPr>
        <w:t>2008/</w:t>
      </w:r>
      <w:r w:rsidR="009B31F0" w:rsidRPr="00687F57">
        <w:rPr>
          <w:rFonts w:asciiTheme="minorHAnsi" w:hAnsiTheme="minorHAnsi" w:cstheme="minorHAnsi"/>
        </w:rPr>
        <w:t>19</w:t>
      </w:r>
      <w:r w:rsidRPr="00687F57">
        <w:rPr>
          <w:rFonts w:asciiTheme="minorHAnsi" w:hAnsiTheme="minorHAnsi" w:cstheme="minorHAnsi"/>
        </w:rPr>
        <w:t xml:space="preserve">92 και β) το άρθρο 5 του </w:t>
      </w:r>
      <w:r w:rsidR="009B31F0" w:rsidRPr="00687F57">
        <w:rPr>
          <w:rFonts w:asciiTheme="minorHAnsi" w:hAnsiTheme="minorHAnsi" w:cstheme="minorHAnsi"/>
        </w:rPr>
        <w:t>ν.</w:t>
      </w:r>
      <w:r w:rsidRPr="00687F57">
        <w:rPr>
          <w:rFonts w:asciiTheme="minorHAnsi" w:hAnsiTheme="minorHAnsi" w:cstheme="minorHAnsi"/>
        </w:rPr>
        <w:t xml:space="preserve"> 2237/</w:t>
      </w:r>
      <w:r w:rsidR="009B31F0" w:rsidRPr="00687F57">
        <w:rPr>
          <w:rFonts w:asciiTheme="minorHAnsi" w:hAnsiTheme="minorHAnsi" w:cstheme="minorHAnsi"/>
        </w:rPr>
        <w:t>19</w:t>
      </w:r>
      <w:r w:rsidRPr="00687F57">
        <w:rPr>
          <w:rFonts w:asciiTheme="minorHAnsi" w:hAnsiTheme="minorHAnsi" w:cstheme="minorHAnsi"/>
        </w:rPr>
        <w:t xml:space="preserve">94. Σύμφωνα με το άρθρο 32 του ν. 2008/1992 (Α΄ 16) το Ελληνικό Δημόσιο ρύθμισε κεφάλαιο που όφειλαν </w:t>
      </w:r>
      <w:r w:rsidR="009B31F0" w:rsidRPr="00687F57">
        <w:rPr>
          <w:rFonts w:asciiTheme="minorHAnsi" w:hAnsiTheme="minorHAnsi" w:cstheme="minorHAnsi"/>
        </w:rPr>
        <w:t>εξήντα</w:t>
      </w:r>
      <w:r w:rsidRPr="00687F57">
        <w:rPr>
          <w:rFonts w:asciiTheme="minorHAnsi" w:hAnsiTheme="minorHAnsi" w:cstheme="minorHAnsi"/>
        </w:rPr>
        <w:t xml:space="preserve"> αγροτικές συνεταιριστικές οργανώσεις (πρωτοβάθμιες, δευτεροβάθμιες και τριτοβάθμιες συνεταιριστικές οργανώσεις, κοινοπραξίες και εταιρείες), στο εξής ΑΣΟ,  προς την πρώην Αγροτική Τράπεζα της Ελλάδος (ΑΤΕ), συνολικού ποσού 63.889.400 €, ενώ κατ’ εφαρμογή του άρθρου 5 του ν. 2237/</w:t>
      </w:r>
      <w:r w:rsidR="009B31F0" w:rsidRPr="00687F57">
        <w:rPr>
          <w:rFonts w:asciiTheme="minorHAnsi" w:hAnsiTheme="minorHAnsi" w:cstheme="minorHAnsi"/>
        </w:rPr>
        <w:t>19</w:t>
      </w:r>
      <w:r w:rsidRPr="00687F57">
        <w:rPr>
          <w:rFonts w:asciiTheme="minorHAnsi" w:hAnsiTheme="minorHAnsi" w:cstheme="minorHAnsi"/>
        </w:rPr>
        <w:t xml:space="preserve">94 (Α΄ 149), στο οποίο προβλεπόταν η δυνατότητα της ΑΤΕ να ρυθμίζει τις ληξιπρόθεσμες οφειλές των ΑΣΟ με την προϋπόθεση οι συνεταιρισμοί αυτοί να εξοφλούσαν το ρυθμιζόμενο οφειλόμενο κεφάλαιο σε </w:t>
      </w:r>
      <w:r w:rsidR="009B31F0" w:rsidRPr="00687F57">
        <w:rPr>
          <w:rFonts w:asciiTheme="minorHAnsi" w:hAnsiTheme="minorHAnsi" w:cstheme="minorHAnsi"/>
        </w:rPr>
        <w:t xml:space="preserve">δέκα </w:t>
      </w:r>
      <w:r w:rsidRPr="00687F57">
        <w:rPr>
          <w:rFonts w:asciiTheme="minorHAnsi" w:hAnsiTheme="minorHAnsi" w:cstheme="minorHAnsi"/>
        </w:rPr>
        <w:t xml:space="preserve">ή </w:t>
      </w:r>
      <w:r w:rsidR="009B31F0" w:rsidRPr="00687F57">
        <w:rPr>
          <w:rFonts w:asciiTheme="minorHAnsi" w:hAnsiTheme="minorHAnsi" w:cstheme="minorHAnsi"/>
        </w:rPr>
        <w:t>δεκαπέντε</w:t>
      </w:r>
      <w:r w:rsidRPr="00687F57">
        <w:rPr>
          <w:rFonts w:asciiTheme="minorHAnsi" w:hAnsiTheme="minorHAnsi" w:cstheme="minorHAnsi"/>
        </w:rPr>
        <w:t xml:space="preserve"> ετήσιες δόσεις, το Ελληνικό Δημόσιο ρύθμισε υφιστάμενες ληξιπρόθεσμες οφειλές </w:t>
      </w:r>
      <w:r w:rsidR="009B31F0" w:rsidRPr="00687F57">
        <w:rPr>
          <w:rFonts w:asciiTheme="minorHAnsi" w:hAnsiTheme="minorHAnsi" w:cstheme="minorHAnsi"/>
        </w:rPr>
        <w:t xml:space="preserve">τριάντα έξι </w:t>
      </w:r>
      <w:r w:rsidRPr="00687F57">
        <w:rPr>
          <w:rFonts w:asciiTheme="minorHAnsi" w:hAnsiTheme="minorHAnsi" w:cstheme="minorHAnsi"/>
        </w:rPr>
        <w:t>ΑΣΟ προς την πρώην Αγροτική Τράπεζα της Ελλάδας, δηλαδή επιδοτούσε το επιτόκιο των οφειλών αυτών με την ως άνω προϋπόθεση. Στις 29 Απριλίου 2004 το Ευρωπαϊκό Δικαστήριο απέρριψε την προσφυγή της Ελληνικής Δημοκρατίας εναντίον της εν λόγω απόφασης της Ε.Ε.</w:t>
      </w:r>
    </w:p>
    <w:p w:rsidR="0002236B" w:rsidRPr="00687F57" w:rsidRDefault="0002236B" w:rsidP="004840FB">
      <w:pPr>
        <w:spacing w:line="360" w:lineRule="auto"/>
        <w:jc w:val="both"/>
        <w:rPr>
          <w:rFonts w:asciiTheme="minorHAnsi" w:hAnsiTheme="minorHAnsi" w:cstheme="minorHAnsi"/>
          <w:strike/>
        </w:rPr>
      </w:pPr>
      <w:r w:rsidRPr="00687F57">
        <w:rPr>
          <w:rFonts w:asciiTheme="minorHAnsi" w:hAnsiTheme="minorHAnsi" w:cstheme="minorHAnsi"/>
        </w:rPr>
        <w:t xml:space="preserve">Το συνολικό ποσό προς ανάκτηση ανέρχεται σε 95.000.000 € και οι υπόχρεοι προς επιστροφή των ενισχύσεων ΑΣΟ ανέρχονται σε εβδομήντα οκτώ. </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Είναι προφανές ότι αν γινόταν εφάπαξ ανάκτηση του ποσού των 95 εκ. ευρώ</w:t>
      </w:r>
      <w:r w:rsidRPr="00687F57">
        <w:rPr>
          <w:rStyle w:val="CommentReference"/>
          <w:rFonts w:asciiTheme="minorHAnsi" w:hAnsiTheme="minorHAnsi" w:cstheme="minorHAnsi"/>
          <w:sz w:val="24"/>
          <w:szCs w:val="24"/>
        </w:rPr>
        <w:t> </w:t>
      </w:r>
      <w:r w:rsidRPr="00687F57">
        <w:rPr>
          <w:rFonts w:asciiTheme="minorHAnsi" w:hAnsiTheme="minorHAnsi" w:cstheme="minorHAnsi"/>
        </w:rPr>
        <w:t xml:space="preserve">, πολλές ΑΣΟ θα οδηγούνταν σε εκκαθάριση με συνέπειες εξαιρετικά δυσμενείς για τον πρωτογενή τομέα και την ελληνική οικονομία γενικότερα. </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β) Το Ελληνικό Δημόσιο με σειρά υπουργικών αποφάσεων [όπως οι αριθμ.  56700/Β.3033/08.12.2008 (Β΄ 2540) και 2/88675/0025/09.12.2008  (Β΄ 2507) αποφάσεις του Υπουργού και του Υφυπουργού Οικονομίας και Οικονομικών αντίστοιχα], ενέκρινε την επιδότηση επιτοκίου για τα δάνεια τα οποία είχαν χορηγηθεί ή επρόκειτο να χορηγηθούν το έτος 2008 από</w:t>
      </w:r>
      <w:r w:rsidRPr="00687F57">
        <w:rPr>
          <w:rStyle w:val="CommentReference"/>
          <w:rFonts w:asciiTheme="minorHAnsi" w:hAnsiTheme="minorHAnsi" w:cstheme="minorHAnsi"/>
          <w:sz w:val="24"/>
          <w:szCs w:val="24"/>
        </w:rPr>
        <w:t> </w:t>
      </w:r>
      <w:r w:rsidRPr="00687F57">
        <w:rPr>
          <w:rFonts w:asciiTheme="minorHAnsi" w:hAnsiTheme="minorHAnsi" w:cstheme="minorHAnsi"/>
        </w:rPr>
        <w:t xml:space="preserve"> τα πιστωτικά ιδρύματα της χώρας προς τις Ενώσεις Αγροτικών Συνεταιρισμών (ΕΑΣ) και τους πρωτοβάθμιους αγροτικούς συνεταιρισμούς, προκειμένου να διατεθούν προς τους παραγωγούς, για αγορασθείσες και παραληφθείσες ποσότητες δημητριακών</w:t>
      </w:r>
      <w:r w:rsidR="00085297" w:rsidRPr="00687F57">
        <w:rPr>
          <w:rFonts w:asciiTheme="minorHAnsi" w:hAnsiTheme="minorHAnsi" w:cstheme="minorHAnsi"/>
        </w:rPr>
        <w:t xml:space="preserve"> </w:t>
      </w:r>
      <w:r w:rsidRPr="00687F57">
        <w:rPr>
          <w:rFonts w:asciiTheme="minorHAnsi" w:hAnsiTheme="minorHAnsi" w:cstheme="minorHAnsi"/>
        </w:rPr>
        <w:t xml:space="preserve">του 2008 και παρείχε εγγύηση σε ποσοστό 100% στα δάνεια τα οποία  χορηγήθηκαν από τα πιστωτικά ιδρύματα της χώρας προς τις ΕΑΣ και τους πρωτοβάθμιους αγροτικούς συνεταιρισμούς, προκειμένου να διατεθούν προς τους παραγωγούς για </w:t>
      </w:r>
      <w:r w:rsidRPr="00687F57">
        <w:rPr>
          <w:rFonts w:asciiTheme="minorHAnsi" w:hAnsiTheme="minorHAnsi" w:cstheme="minorHAnsi"/>
        </w:rPr>
        <w:lastRenderedPageBreak/>
        <w:t>ποσότητες δημητριακών οι οποίες αγοράσθηκαν αντίστοιχα ή παρελήφθησαν κατά το 2008.</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Η Ευρωπαϊκή Επιτροπή με την αριθμ. 2012/3</w:t>
      </w:r>
      <w:r w:rsidR="00687F57">
        <w:rPr>
          <w:rFonts w:asciiTheme="minorHAnsi" w:hAnsiTheme="minorHAnsi" w:cstheme="minorHAnsi"/>
        </w:rPr>
        <w:t>20/ΕΕ απόφασή της και το Γενικό</w:t>
      </w:r>
      <w:r w:rsidRPr="00687F57">
        <w:rPr>
          <w:rFonts w:asciiTheme="minorHAnsi" w:hAnsiTheme="minorHAnsi" w:cstheme="minorHAnsi"/>
        </w:rPr>
        <w:t xml:space="preserve"> Δικαστήριο με την απόφασή του της 9ης Α</w:t>
      </w:r>
      <w:r w:rsidR="00687F57">
        <w:rPr>
          <w:rFonts w:asciiTheme="minorHAnsi" w:hAnsiTheme="minorHAnsi" w:cstheme="minorHAnsi"/>
        </w:rPr>
        <w:t>πριλίου 2014 αποφάνθηκαν ότι οι</w:t>
      </w:r>
      <w:r w:rsidRPr="00687F57">
        <w:rPr>
          <w:rFonts w:asciiTheme="minorHAnsi" w:hAnsiTheme="minorHAnsi" w:cstheme="minorHAnsi"/>
        </w:rPr>
        <w:t xml:space="preserve"> ανωτέρω χορηγηθείσες ενισχύσεις που συνίσταντο στην επιδότηση επιτοκίου και στην καλύπτουσα το συνολικό ποσό δανείου εγγύηση αποτελούσαν κρατική ενίσχυση που δεν ήταν συμβατή με την εσωτερική α</w:t>
      </w:r>
      <w:r w:rsidR="00687F57">
        <w:rPr>
          <w:rFonts w:asciiTheme="minorHAnsi" w:hAnsiTheme="minorHAnsi" w:cstheme="minorHAnsi"/>
        </w:rPr>
        <w:t>γορά και η Ελλάδα όφειλε να τις</w:t>
      </w:r>
      <w:r w:rsidRPr="00687F57">
        <w:rPr>
          <w:rFonts w:asciiTheme="minorHAnsi" w:hAnsiTheme="minorHAnsi" w:cstheme="minorHAnsi"/>
        </w:rPr>
        <w:t xml:space="preserve"> ανακτήσει από τους δικαιούχους.</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Εκτιμάται ότι το ποσό των τόκων που πρέπει να ανακτηθούν ανέρχεται σε 7.727.993 € για τους 49 ΑΣΟ, ενώ το ποσό των εγγυήσεων ανέρχεται σε 3.686.255,94 €. Το συνολικό ποσό που πρέπει να ανακτηθεί ανέρχεται σε 13.265.352 €.</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Σύμφωνα με το ισχύον θεσμικό ενωσιακό και εθνικό πλαίσιο οι ανακτήσεις  πρέπει να είναι άμεσες και εφάπαξ. Το Υπουργείο Αγροτικής Ανάπτυξης και Τροφίμων πρότεινε στην Ευρωπαϊκή Επιτροπή (Επιστολή της 31</w:t>
      </w:r>
      <w:r w:rsidR="009B31F0" w:rsidRPr="00687F57">
        <w:rPr>
          <w:rFonts w:asciiTheme="minorHAnsi" w:hAnsiTheme="minorHAnsi" w:cstheme="minorHAnsi"/>
        </w:rPr>
        <w:t>ης</w:t>
      </w:r>
      <w:r w:rsidRPr="00687F57">
        <w:rPr>
          <w:rFonts w:asciiTheme="minorHAnsi" w:hAnsiTheme="minorHAnsi" w:cstheme="minorHAnsi"/>
        </w:rPr>
        <w:t>.5.2019 με αριθμ. πρωτ. 523/126708) μια μεθοδολογία ανάκτησης η οποία συμπεριλάμβανε την ανάκτηση των τόκων που δεν καταβλήθηκαν κατά την περίοδο από 1</w:t>
      </w:r>
      <w:r w:rsidR="009B31F0" w:rsidRPr="00687F57">
        <w:rPr>
          <w:rFonts w:asciiTheme="minorHAnsi" w:hAnsiTheme="minorHAnsi" w:cstheme="minorHAnsi"/>
        </w:rPr>
        <w:t>ης</w:t>
      </w:r>
      <w:r w:rsidRPr="00687F57">
        <w:rPr>
          <w:rFonts w:asciiTheme="minorHAnsi" w:hAnsiTheme="minorHAnsi" w:cstheme="minorHAnsi"/>
        </w:rPr>
        <w:t>.1.2009 μέχρι 26.10.2010, καθώς επίσης και την καταβολή εγγύησης</w:t>
      </w:r>
      <w:r w:rsidRPr="00687F57">
        <w:rPr>
          <w:rStyle w:val="CommentReference"/>
          <w:rFonts w:asciiTheme="minorHAnsi" w:hAnsiTheme="minorHAnsi" w:cstheme="minorHAnsi"/>
          <w:sz w:val="24"/>
          <w:szCs w:val="24"/>
        </w:rPr>
        <w:t> </w:t>
      </w:r>
      <w:r w:rsidRPr="00687F57">
        <w:rPr>
          <w:rFonts w:asciiTheme="minorHAnsi" w:hAnsiTheme="minorHAnsi" w:cstheme="minorHAnsi"/>
        </w:rPr>
        <w:t xml:space="preserve"> ύψους 2%, καθώς με την αριθμ. 2/21304/0025/26-10-2010 υπουργική απόφαση (Β΄1695) καταργήθηκαν οι ανωτέρω ρυθμίσεις περί επιδότησης επιτοκίου και ορίσθηκε η υποχρέωση των ΑΣΟ που έλαβαν δάνεια να τα αποπληρώνουν με τα ισχύοντα επιτόκια της αγοράς και επιπλέον η υποχρέωση καταβολή εκ μέρους των ΑΣΟ μηνιαίας εγγύησης ποσοστού 2% επί του ποσού του δανείου που έλαβαν.</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 xml:space="preserve">Επειδή η Ευρωπαϊκή Επιτροπή αποδέχθηκε ότι η άμεση και εφάπαξ ανάκτηση θα έχει δυσμενέστατες </w:t>
      </w:r>
      <w:r w:rsidR="009B31F0" w:rsidRPr="00687F57">
        <w:rPr>
          <w:rFonts w:asciiTheme="minorHAnsi" w:hAnsiTheme="minorHAnsi" w:cstheme="minorHAnsi"/>
        </w:rPr>
        <w:t xml:space="preserve">συνέπειες </w:t>
      </w:r>
      <w:r w:rsidRPr="00687F57">
        <w:rPr>
          <w:rFonts w:asciiTheme="minorHAnsi" w:hAnsiTheme="minorHAnsi" w:cstheme="minorHAnsi"/>
        </w:rPr>
        <w:t>για τις ΑΣΟ, δόθηκε η δυνατότητα στη χώρα να προχωρήσει σε ανακτήσεις με ετήσιες δόσεις οι οποίες πρέπει να είναι έντοκες και με επιτόκια αγοράς.</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Κατόπιν των ανωτέρω, είναι απαραίτητη η εισαγωγή ειδικής ρύθμισης προκειμένου να καθορισθούν οι λεπτομέρειες της διαδικασίας εκτέλεσης των ανωτέρω αποφάσεων της Ευρωπαϊκής Επιτροπής, όπως συμφωνήθηκαν με αυτή στ</w:t>
      </w:r>
      <w:r w:rsidR="009B31F0" w:rsidRPr="00687F57">
        <w:rPr>
          <w:rFonts w:asciiTheme="minorHAnsi" w:hAnsiTheme="minorHAnsi" w:cstheme="minorHAnsi"/>
        </w:rPr>
        <w:t>ο</w:t>
      </w:r>
      <w:r w:rsidRPr="00687F57">
        <w:rPr>
          <w:rFonts w:asciiTheme="minorHAnsi" w:hAnsiTheme="minorHAnsi" w:cstheme="minorHAnsi"/>
        </w:rPr>
        <w:t xml:space="preserve"> πλαίσι</w:t>
      </w:r>
      <w:r w:rsidR="009B31F0" w:rsidRPr="00687F57">
        <w:rPr>
          <w:rFonts w:asciiTheme="minorHAnsi" w:hAnsiTheme="minorHAnsi" w:cstheme="minorHAnsi"/>
        </w:rPr>
        <w:t>ο</w:t>
      </w:r>
      <w:r w:rsidRPr="00687F57">
        <w:rPr>
          <w:rFonts w:asciiTheme="minorHAnsi" w:hAnsiTheme="minorHAnsi" w:cstheme="minorHAnsi"/>
        </w:rPr>
        <w:t xml:space="preserve"> τ</w:t>
      </w:r>
      <w:r w:rsidR="009B31F0" w:rsidRPr="00687F57">
        <w:rPr>
          <w:rFonts w:asciiTheme="minorHAnsi" w:hAnsiTheme="minorHAnsi" w:cstheme="minorHAnsi"/>
        </w:rPr>
        <w:t>ης</w:t>
      </w:r>
      <w:r w:rsidRPr="00687F57">
        <w:rPr>
          <w:rFonts w:asciiTheme="minorHAnsi" w:hAnsiTheme="minorHAnsi" w:cstheme="minorHAnsi"/>
        </w:rPr>
        <w:t xml:space="preserve"> αρχ</w:t>
      </w:r>
      <w:r w:rsidR="009B31F0" w:rsidRPr="00687F57">
        <w:rPr>
          <w:rFonts w:asciiTheme="minorHAnsi" w:hAnsiTheme="minorHAnsi" w:cstheme="minorHAnsi"/>
        </w:rPr>
        <w:t>ής</w:t>
      </w:r>
      <w:r w:rsidRPr="00687F57">
        <w:rPr>
          <w:rFonts w:asciiTheme="minorHAnsi" w:hAnsiTheme="minorHAnsi" w:cstheme="minorHAnsi"/>
        </w:rPr>
        <w:t xml:space="preserve"> της καλής συνεργασίας.</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 xml:space="preserve">Με την προτεινόμενη διάταξη της παρ. 1 δίνεται η δυνατότητα αποπληρωμής των οφειλομένων ποσών σε ετήσιες έντοκες δόσεις οι οποίες μπορούν να φθάσουν κατ΄ </w:t>
      </w:r>
      <w:r w:rsidRPr="00687F57">
        <w:rPr>
          <w:rFonts w:asciiTheme="minorHAnsi" w:hAnsiTheme="minorHAnsi" w:cstheme="minorHAnsi"/>
        </w:rPr>
        <w:lastRenderedPageBreak/>
        <w:t xml:space="preserve">ανώτατο όριο μέχρι τις </w:t>
      </w:r>
      <w:r w:rsidR="00687F57">
        <w:rPr>
          <w:rFonts w:asciiTheme="minorHAnsi" w:hAnsiTheme="minorHAnsi" w:cstheme="minorHAnsi"/>
        </w:rPr>
        <w:t>είκοσι</w:t>
      </w:r>
      <w:r w:rsidR="009B31F0" w:rsidRPr="00687F57">
        <w:rPr>
          <w:rFonts w:asciiTheme="minorHAnsi" w:hAnsiTheme="minorHAnsi" w:cstheme="minorHAnsi"/>
        </w:rPr>
        <w:t xml:space="preserve"> </w:t>
      </w:r>
      <w:r w:rsidR="0049121E">
        <w:rPr>
          <w:rFonts w:asciiTheme="minorHAnsi" w:hAnsiTheme="minorHAnsi" w:cstheme="minorHAnsi"/>
          <w:lang w:val="en-GB"/>
        </w:rPr>
        <w:t xml:space="preserve">(20) </w:t>
      </w:r>
      <w:r w:rsidRPr="00687F57">
        <w:rPr>
          <w:rFonts w:asciiTheme="minorHAnsi" w:hAnsiTheme="minorHAnsi" w:cstheme="minorHAnsi"/>
        </w:rPr>
        <w:t>και ορίζεται ότι ο αριθμός των δόσεων καθορίζεται σύμφωνα με τη χρηματοδοτική ικανότητα κάθε ΑΣΟ.</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Με την προτεινόμενη διάταξη της παρ. 2 εξουσιοδοτούνται οι αρμόδιοι Υπουργοί να ρυθμίσουν</w:t>
      </w:r>
      <w:r w:rsidR="009B31F0" w:rsidRPr="00687F57">
        <w:rPr>
          <w:rFonts w:asciiTheme="minorHAnsi" w:hAnsiTheme="minorHAnsi" w:cstheme="minorHAnsi"/>
        </w:rPr>
        <w:t>,</w:t>
      </w:r>
      <w:r w:rsidRPr="00687F57">
        <w:rPr>
          <w:rFonts w:asciiTheme="minorHAnsi" w:hAnsiTheme="minorHAnsi" w:cstheme="minorHAnsi"/>
        </w:rPr>
        <w:t xml:space="preserve"> με κοινή απόφασή </w:t>
      </w:r>
      <w:r w:rsidR="009B31F0" w:rsidRPr="00687F57">
        <w:rPr>
          <w:rFonts w:asciiTheme="minorHAnsi" w:hAnsiTheme="minorHAnsi" w:cstheme="minorHAnsi"/>
        </w:rPr>
        <w:t>τους,</w:t>
      </w:r>
      <w:r w:rsidRPr="00687F57">
        <w:rPr>
          <w:rFonts w:asciiTheme="minorHAnsi" w:hAnsiTheme="minorHAnsi" w:cstheme="minorHAnsi"/>
        </w:rPr>
        <w:t xml:space="preserve"> κάθε λεπτομέρεια σχετική με τις ανακτήσεις της παρ. 1 και ιδίως τους υπόχρεους προς ανάκτηση ΑΣΟ, τον αριθμό και το ποσό των ετήσιων δόσεων για κάθε αγροτικό συνεταιρισμό</w:t>
      </w:r>
      <w:r w:rsidR="009B31F0" w:rsidRPr="00687F57">
        <w:rPr>
          <w:rFonts w:asciiTheme="minorHAnsi" w:hAnsiTheme="minorHAnsi" w:cstheme="minorHAnsi"/>
        </w:rPr>
        <w:t>,</w:t>
      </w:r>
      <w:r w:rsidRPr="00687F57">
        <w:rPr>
          <w:rFonts w:asciiTheme="minorHAnsi" w:hAnsiTheme="minorHAnsi" w:cstheme="minorHAnsi"/>
        </w:rPr>
        <w:t xml:space="preserve"> καθώς και το ύψος του επιτοκίου των δόσεων. </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Με την προτεινόμενη παρ. 3 ορίζεται η αρμόδια για τις διαδικασίες ανάκτησης υπηρεσία του ΥΠΑΑΤ.</w:t>
      </w:r>
    </w:p>
    <w:p w:rsidR="0002236B" w:rsidRPr="00687F57" w:rsidRDefault="0002236B" w:rsidP="004840FB">
      <w:pPr>
        <w:spacing w:line="360" w:lineRule="auto"/>
        <w:jc w:val="both"/>
        <w:rPr>
          <w:rFonts w:asciiTheme="minorHAnsi" w:hAnsiTheme="minorHAnsi" w:cstheme="minorHAnsi"/>
        </w:rPr>
      </w:pPr>
      <w:r w:rsidRPr="00687F57">
        <w:rPr>
          <w:rFonts w:asciiTheme="minorHAnsi" w:hAnsiTheme="minorHAnsi" w:cstheme="minorHAnsi"/>
        </w:rPr>
        <w:t xml:space="preserve">Με την προτεινόμενη διάταξη της παρ. 4 ορίζεται ρητά ότι σε περίπτωση μη έγκαιρης καταβολής έστω και μίας δόσης από τους υπόχρεους προς ανάκτηση, η σχετική απαίτηση καθίσταται άμεσα ληξιπρόθεσμη και απαιτητή. </w:t>
      </w:r>
    </w:p>
    <w:p w:rsidR="00CE008C" w:rsidRPr="00687F57" w:rsidRDefault="00CE008C" w:rsidP="004840FB">
      <w:pPr>
        <w:spacing w:line="360" w:lineRule="auto"/>
        <w:jc w:val="both"/>
        <w:rPr>
          <w:rFonts w:asciiTheme="minorHAnsi" w:hAnsiTheme="minorHAnsi" w:cstheme="minorHAnsi"/>
        </w:rPr>
      </w:pPr>
    </w:p>
    <w:p w:rsidR="0002236B" w:rsidRPr="00687F57" w:rsidRDefault="0002236B" w:rsidP="007C1BEA">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26060E" w:rsidRPr="00687F57">
        <w:rPr>
          <w:rFonts w:asciiTheme="minorHAnsi" w:hAnsiTheme="minorHAnsi" w:cstheme="minorHAnsi"/>
          <w:b/>
          <w:bCs/>
        </w:rPr>
        <w:t>8</w:t>
      </w:r>
    </w:p>
    <w:p w:rsidR="0002236B" w:rsidRPr="00687F57" w:rsidRDefault="0002236B" w:rsidP="00687F57">
      <w:pPr>
        <w:spacing w:line="360" w:lineRule="auto"/>
        <w:jc w:val="both"/>
        <w:rPr>
          <w:rFonts w:asciiTheme="minorHAnsi" w:hAnsiTheme="minorHAnsi" w:cstheme="minorHAnsi"/>
          <w:b/>
          <w:lang w:val="en-GB"/>
        </w:rPr>
      </w:pPr>
      <w:r w:rsidRPr="00687F57">
        <w:rPr>
          <w:rFonts w:asciiTheme="minorHAnsi" w:hAnsiTheme="minorHAnsi" w:cstheme="minorHAnsi"/>
          <w:b/>
        </w:rPr>
        <w:t xml:space="preserve">Εκκαθάριση δαπανών </w:t>
      </w:r>
    </w:p>
    <w:p w:rsidR="00CE008C" w:rsidRPr="00687F57" w:rsidRDefault="00687F57" w:rsidP="00CE008C">
      <w:pPr>
        <w:pStyle w:val="HTMLPreformatte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Με την παρ. </w:t>
      </w:r>
      <w:r>
        <w:rPr>
          <w:rFonts w:asciiTheme="minorHAnsi" w:hAnsiTheme="minorHAnsi" w:cstheme="minorHAnsi"/>
          <w:sz w:val="24"/>
          <w:szCs w:val="24"/>
          <w:lang w:val="en-GB"/>
        </w:rPr>
        <w:t>1</w:t>
      </w:r>
      <w:r w:rsidR="00CE008C" w:rsidRPr="00687F57">
        <w:rPr>
          <w:rFonts w:asciiTheme="minorHAnsi" w:hAnsiTheme="minorHAnsi" w:cstheme="minorHAnsi"/>
          <w:sz w:val="24"/>
          <w:szCs w:val="24"/>
        </w:rPr>
        <w:t xml:space="preserve"> του προτεινόμενου άρθρου ρυθμίζονται θέματα εκκαθάρισης δαπανών μετακίνησης. Ειδικότερα, σύμφωνα με την αριθμ. 2/9118/0026/29-12-2020 εγκύκλιο του Υπουργείου Οικονομικών, με την οποία παρέχονταν οδηγίες και διευκρινίσεις σχετικά με τις διατάξεις των παρ. 1 και 2 του άρθρου 21 του ν. 2362/1995 «Περί Δημοσίου Λογιστικού, ελέγχου των δαπανών του Κράτους και άλλες διατάξεις» (Α΄ 247) και την παρ. 2 του άρθρου 2 του π.δ. 113/2010, η ανάληψη δέσμευσης πίστωσης πρέπει να προηγείται της έκδοσης της απόφασης μετακίνησης και ρητά να αναφέρεται στην απόφαση. Η ανωτέρω εγκύκλιος περιήλθε στη Διεύθυνση Οικονομικ</w:t>
      </w:r>
      <w:r w:rsidR="00753A95" w:rsidRPr="00687F57">
        <w:rPr>
          <w:rFonts w:asciiTheme="minorHAnsi" w:hAnsiTheme="minorHAnsi" w:cstheme="minorHAnsi"/>
          <w:sz w:val="24"/>
          <w:szCs w:val="24"/>
        </w:rPr>
        <w:t>ού</w:t>
      </w:r>
      <w:r w:rsidR="00CE008C" w:rsidRPr="00687F57">
        <w:rPr>
          <w:rFonts w:asciiTheme="minorHAnsi" w:hAnsiTheme="minorHAnsi" w:cstheme="minorHAnsi"/>
          <w:sz w:val="24"/>
          <w:szCs w:val="24"/>
        </w:rPr>
        <w:t xml:space="preserve"> του ΥΠΑΑΤ μετά το πρώτο δεκαπενθήμερο του μηνός Ιανουαρίου 2011, με αποτέλεσμα οι μετακινήσεις που είχαν πραγματοποιηθεί τον Ιανουάριο του 2011, παρότι υπήρχε η σχετική δέσμευση πίστωσης, να μην μπορούν να αποκατασταθούν, διότι δεν υπήρχε η αναφορά της δέσμευσης πίστωσης σε κάθε απόφαση μετακίνησης ξεχωριστά. Η τότε Υπηρεσία Δημοσιονομικού Ελέγχου στο ΥΠΑΑΤ αρνήθηκε την αποκατάσταση αυτών των δαπανών παρά το γεγονός ότι όλες οι άλλες ΥΔΕ προχώρησαν σε τακτοποίηση αυτών των δαπανών. Οι μη ενταλματοποιηθείσες και μη αποκατασταθείσες δαπάνες μετακινήσεων ανέρχονται στο συνολικό ποσό των τριάντα τεσσάρων </w:t>
      </w:r>
      <w:r w:rsidR="00CE008C" w:rsidRPr="00687F57">
        <w:rPr>
          <w:rFonts w:asciiTheme="minorHAnsi" w:hAnsiTheme="minorHAnsi" w:cstheme="minorHAnsi"/>
          <w:sz w:val="24"/>
          <w:szCs w:val="24"/>
        </w:rPr>
        <w:lastRenderedPageBreak/>
        <w:t>χιλιάδων εννιακοσίων πενήντα τριών χιλιάδων (34.953,00) ευρώ, ως αποτέλεσμα της χρονικής διαφοράς μεταξύ έκδοσης της εγκυκλίου και παραλαβής της από τη Διεύθυνση Οικονομικ</w:t>
      </w:r>
      <w:r w:rsidR="00753A95" w:rsidRPr="00687F57">
        <w:rPr>
          <w:rFonts w:asciiTheme="minorHAnsi" w:hAnsiTheme="minorHAnsi" w:cstheme="minorHAnsi"/>
          <w:sz w:val="24"/>
          <w:szCs w:val="24"/>
        </w:rPr>
        <w:t>ού</w:t>
      </w:r>
      <w:r w:rsidR="00CE008C" w:rsidRPr="00687F57">
        <w:rPr>
          <w:rFonts w:asciiTheme="minorHAnsi" w:hAnsiTheme="minorHAnsi" w:cstheme="minorHAnsi"/>
          <w:sz w:val="24"/>
          <w:szCs w:val="24"/>
        </w:rPr>
        <w:t xml:space="preserve"> του ΥΠΑΑΤ, γεγονός που σε καμία περίπτωση δεν αποτελεί μη συμμόρφωση της ως άνω Διεύθυνσης με τις κείμενες διατάξεις. Με τη προτεινόμενη διάταξη ρυθμίζονται τα της εκκαθάρισης των εν λόγω δαπανών μετακίνησης υπαλλήλων και πολιτικής ηγεσίας του ΥΠΑΑΤ. </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 xml:space="preserve">Με την </w:t>
      </w:r>
      <w:r w:rsidR="00753A95" w:rsidRPr="00687F57">
        <w:rPr>
          <w:rFonts w:asciiTheme="minorHAnsi" w:hAnsiTheme="minorHAnsi" w:cstheme="minorHAnsi"/>
          <w:sz w:val="24"/>
          <w:szCs w:val="24"/>
        </w:rPr>
        <w:t xml:space="preserve">παρ. </w:t>
      </w:r>
      <w:r w:rsidR="00687F57">
        <w:rPr>
          <w:rFonts w:asciiTheme="minorHAnsi" w:hAnsiTheme="minorHAnsi" w:cstheme="minorHAnsi"/>
          <w:sz w:val="24"/>
          <w:szCs w:val="24"/>
          <w:lang w:val="en-GB"/>
        </w:rPr>
        <w:t>2</w:t>
      </w:r>
      <w:r w:rsidRPr="00687F57">
        <w:rPr>
          <w:rFonts w:asciiTheme="minorHAnsi" w:hAnsiTheme="minorHAnsi" w:cstheme="minorHAnsi"/>
          <w:sz w:val="24"/>
          <w:szCs w:val="24"/>
        </w:rPr>
        <w:t xml:space="preserve"> επιδιώκεται η τακτοποίηση εκκρεμών δαπανών του Ταμείου Γεωργίας και Κτηνοτροφίας, ΝΠΔΔ εποπτευόμενο</w:t>
      </w:r>
      <w:r w:rsidR="00753A95" w:rsidRPr="00687F57">
        <w:rPr>
          <w:rFonts w:asciiTheme="minorHAnsi" w:hAnsiTheme="minorHAnsi" w:cstheme="minorHAnsi"/>
          <w:sz w:val="24"/>
          <w:szCs w:val="24"/>
        </w:rPr>
        <w:t>υ</w:t>
      </w:r>
      <w:r w:rsidRPr="00687F57">
        <w:rPr>
          <w:rFonts w:asciiTheme="minorHAnsi" w:hAnsiTheme="minorHAnsi" w:cstheme="minorHAnsi"/>
          <w:sz w:val="24"/>
          <w:szCs w:val="24"/>
        </w:rPr>
        <w:t xml:space="preserve"> από το ΥΠΑΑΤ.</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Ειδικότερα κατά το έτος 2012 πραγματοποιήθηκαν από διάφορες Αποκεντρωμένες Υπηρεσίες του ΥΠΑΑΤ, σε βάρος διαφόρων Κωδικών Αριθμών Εξόδου (Κ.Α.Ε.) των προϋπολογισμών του Ταμείου Γεωργίας &amp; Κτηνοτροφίας (Φ.110 και Σποροπαραγωγή), δαπάνες οι οποίες δεν κατέστη δυνατόν να εκκαθαριστούν από την τότε ΥΔΕ. Οι δαπάνες αυτές αφορούσαν σε:</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1. επιστροφές δικαιολογητικών παγίων προκαταβολών (Φ.110): 27.225.39 €</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2. επιστροφές δικαιολογητικών για έκδοση τακτικών ενταλμάτων (Φ.110): 2.346.40 €</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3. επιστροφές δικαιολογητ</w:t>
      </w:r>
      <w:r w:rsidR="00753A95" w:rsidRPr="00687F57">
        <w:rPr>
          <w:rFonts w:asciiTheme="minorHAnsi" w:hAnsiTheme="minorHAnsi" w:cstheme="minorHAnsi"/>
          <w:sz w:val="24"/>
          <w:szCs w:val="24"/>
        </w:rPr>
        <w:t>ικών</w:t>
      </w:r>
      <w:r w:rsidRPr="00687F57">
        <w:rPr>
          <w:rFonts w:asciiTheme="minorHAnsi" w:hAnsiTheme="minorHAnsi" w:cstheme="minorHAnsi"/>
          <w:sz w:val="24"/>
          <w:szCs w:val="24"/>
        </w:rPr>
        <w:t xml:space="preserve"> παγίων προκαταβολών (Σποροπαραγωγή): 11.203.85 €</w:t>
      </w:r>
    </w:p>
    <w:p w:rsidR="00CE008C" w:rsidRPr="00687F57" w:rsidRDefault="00687F57" w:rsidP="00CE008C">
      <w:pPr>
        <w:pStyle w:val="HTMLPreformatte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ΣΥΝΟΛΟ </w:t>
      </w:r>
      <w:r w:rsidR="00CE008C" w:rsidRPr="00687F57">
        <w:rPr>
          <w:rFonts w:asciiTheme="minorHAnsi" w:hAnsiTheme="minorHAnsi" w:cstheme="minorHAnsi"/>
          <w:sz w:val="24"/>
          <w:szCs w:val="24"/>
        </w:rPr>
        <w:t>40.775,64 €</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 xml:space="preserve">Για τα ανωτέρω ποσά, που πληρώθηκαν μέσω της παγίας προκαταβολής έτους 2012, οι υπόλογοι των Υπηρεσιών αποστέλλουν τα δικαιολογητικά προς αποκατάσταση της παγίας και η όλη διαδικασία θα έπρεπε να </w:t>
      </w:r>
      <w:r w:rsidR="00753A95" w:rsidRPr="00687F57">
        <w:rPr>
          <w:rFonts w:asciiTheme="minorHAnsi" w:hAnsiTheme="minorHAnsi" w:cstheme="minorHAnsi"/>
          <w:sz w:val="24"/>
          <w:szCs w:val="24"/>
        </w:rPr>
        <w:t xml:space="preserve">έχει </w:t>
      </w:r>
      <w:r w:rsidRPr="00687F57">
        <w:rPr>
          <w:rFonts w:asciiTheme="minorHAnsi" w:hAnsiTheme="minorHAnsi" w:cstheme="minorHAnsi"/>
          <w:sz w:val="24"/>
          <w:szCs w:val="24"/>
        </w:rPr>
        <w:t xml:space="preserve">ολοκληρωθεί μέχρι </w:t>
      </w:r>
      <w:r w:rsidR="00753A95" w:rsidRPr="00687F57">
        <w:rPr>
          <w:rFonts w:asciiTheme="minorHAnsi" w:hAnsiTheme="minorHAnsi" w:cstheme="minorHAnsi"/>
          <w:sz w:val="24"/>
          <w:szCs w:val="24"/>
        </w:rPr>
        <w:t xml:space="preserve">τις </w:t>
      </w:r>
      <w:r w:rsidRPr="00687F57">
        <w:rPr>
          <w:rFonts w:asciiTheme="minorHAnsi" w:hAnsiTheme="minorHAnsi" w:cstheme="minorHAnsi"/>
          <w:sz w:val="24"/>
          <w:szCs w:val="24"/>
        </w:rPr>
        <w:t>30</w:t>
      </w:r>
      <w:r w:rsidR="00753A95" w:rsidRPr="00687F57">
        <w:rPr>
          <w:rFonts w:asciiTheme="minorHAnsi" w:hAnsiTheme="minorHAnsi" w:cstheme="minorHAnsi"/>
          <w:sz w:val="24"/>
          <w:szCs w:val="24"/>
        </w:rPr>
        <w:t>.</w:t>
      </w:r>
      <w:r w:rsidRPr="00687F57">
        <w:rPr>
          <w:rFonts w:asciiTheme="minorHAnsi" w:hAnsiTheme="minorHAnsi" w:cstheme="minorHAnsi"/>
          <w:sz w:val="24"/>
          <w:szCs w:val="24"/>
        </w:rPr>
        <w:t>4</w:t>
      </w:r>
      <w:r w:rsidR="00753A95" w:rsidRPr="00687F57">
        <w:rPr>
          <w:rFonts w:asciiTheme="minorHAnsi" w:hAnsiTheme="minorHAnsi" w:cstheme="minorHAnsi"/>
          <w:sz w:val="24"/>
          <w:szCs w:val="24"/>
        </w:rPr>
        <w:t>.</w:t>
      </w:r>
      <w:r w:rsidRPr="00687F57">
        <w:rPr>
          <w:rFonts w:asciiTheme="minorHAnsi" w:hAnsiTheme="minorHAnsi" w:cstheme="minorHAnsi"/>
          <w:sz w:val="24"/>
          <w:szCs w:val="24"/>
        </w:rPr>
        <w:t>2013</w:t>
      </w:r>
      <w:r w:rsidR="00753A95" w:rsidRPr="00687F57">
        <w:rPr>
          <w:rFonts w:asciiTheme="minorHAnsi" w:hAnsiTheme="minorHAnsi" w:cstheme="minorHAnsi"/>
          <w:sz w:val="24"/>
          <w:szCs w:val="24"/>
        </w:rPr>
        <w:t>, με την</w:t>
      </w:r>
      <w:r w:rsidRPr="00687F57">
        <w:rPr>
          <w:rFonts w:asciiTheme="minorHAnsi" w:hAnsiTheme="minorHAnsi" w:cstheme="minorHAnsi"/>
          <w:sz w:val="24"/>
          <w:szCs w:val="24"/>
        </w:rPr>
        <w:t xml:space="preserve"> έκδοση συμψηφιστικών ενταλμάτων από την Υπηρεσία Δημοσιονομικού Ελέγχου. Εξαιτίας όμως του γεγονότος ότι οι ανωτέρω δαπάνες εκκρεμούν από το 2012, τα δικαιολογητικά τελικά θα πρέπει να επιστραφούν στους υπολόγους και να πληρωθούν από τους ίδιους. Για να μην επιβαρυνθούν συνεπώς οι υπόλογοι με δαπάνες οι οποίες έγιναν και πληρώθηκαν κανονικά με τα σχετικά παραστατικά, προτείνεται η ρύθμιση του ζητήματος αυτού.</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 xml:space="preserve">Εκτός των δαπανών αυτών υπήρξαν και δαπάνες του έτους 2017 και 2018 που αφορούν πάγιες προκαταβολές του Ταμείου Γεωργίας και Κτηνοτροφίας που δεν κατέστη δυνατόν να αποκατασταθούν λόγω λήξεως της προθεσμίας αποκατάστασής τους ενώ πληρώθηκαν από τις πάγιες προκαταβολές των </w:t>
      </w:r>
      <w:r w:rsidRPr="00687F57">
        <w:rPr>
          <w:rFonts w:asciiTheme="minorHAnsi" w:hAnsiTheme="minorHAnsi" w:cstheme="minorHAnsi"/>
          <w:sz w:val="24"/>
          <w:szCs w:val="24"/>
        </w:rPr>
        <w:lastRenderedPageBreak/>
        <w:t xml:space="preserve">αποκεντρωμένων υπηρεσιών του ΥΠΑΑΤ. Η αποκατάσταση των πάγιων προκαταβολών  για το έτος 2017 όπως και η εκκαθάριση δαπανών του ΥΠΑΑΤ γενικότερα είχε ανατεθεί από </w:t>
      </w:r>
      <w:r w:rsidR="00753A95" w:rsidRPr="00687F57">
        <w:rPr>
          <w:rFonts w:asciiTheme="minorHAnsi" w:hAnsiTheme="minorHAnsi" w:cstheme="minorHAnsi"/>
          <w:sz w:val="24"/>
          <w:szCs w:val="24"/>
        </w:rPr>
        <w:t xml:space="preserve">την </w:t>
      </w:r>
      <w:r w:rsidRPr="00687F57">
        <w:rPr>
          <w:rFonts w:asciiTheme="minorHAnsi" w:hAnsiTheme="minorHAnsi" w:cstheme="minorHAnsi"/>
          <w:sz w:val="24"/>
          <w:szCs w:val="24"/>
        </w:rPr>
        <w:t>1</w:t>
      </w:r>
      <w:r w:rsidR="00CF4FA2" w:rsidRPr="00687F57">
        <w:rPr>
          <w:rFonts w:asciiTheme="minorHAnsi" w:hAnsiTheme="minorHAnsi" w:cstheme="minorHAnsi"/>
          <w:sz w:val="24"/>
          <w:szCs w:val="24"/>
          <w:vertAlign w:val="superscript"/>
        </w:rPr>
        <w:t>η</w:t>
      </w:r>
      <w:r w:rsidR="00753A95" w:rsidRPr="00687F57">
        <w:rPr>
          <w:rFonts w:asciiTheme="minorHAnsi" w:hAnsiTheme="minorHAnsi" w:cstheme="minorHAnsi"/>
          <w:sz w:val="24"/>
          <w:szCs w:val="24"/>
        </w:rPr>
        <w:t>.</w:t>
      </w:r>
      <w:r w:rsidRPr="00687F57">
        <w:rPr>
          <w:rFonts w:asciiTheme="minorHAnsi" w:hAnsiTheme="minorHAnsi" w:cstheme="minorHAnsi"/>
          <w:sz w:val="24"/>
          <w:szCs w:val="24"/>
        </w:rPr>
        <w:t>1</w:t>
      </w:r>
      <w:r w:rsidR="00753A95" w:rsidRPr="00687F57">
        <w:rPr>
          <w:rFonts w:asciiTheme="minorHAnsi" w:hAnsiTheme="minorHAnsi" w:cstheme="minorHAnsi"/>
          <w:sz w:val="24"/>
          <w:szCs w:val="24"/>
        </w:rPr>
        <w:t>.</w:t>
      </w:r>
      <w:r w:rsidRPr="00687F57">
        <w:rPr>
          <w:rFonts w:asciiTheme="minorHAnsi" w:hAnsiTheme="minorHAnsi" w:cstheme="minorHAnsi"/>
          <w:sz w:val="24"/>
          <w:szCs w:val="24"/>
        </w:rPr>
        <w:t>2017 στις Γενικές Διευθύνσεις Οικονομικών Υπηρεσιών των Υπουργείων οι οποίες ανέλαβαν τις αρμοδιότητες των Υπηρεσιών Δημοσιονομικού Ελέγχου (ΥΔΕ). Η αρμόδια για την αποκατάσταση των πάγιων προκαταβολών Διεύθυνση Οικονομικής Διαχείρισης με το υφιστάμενο προσωπικό δεν ήταν σε θέση να εκκαθαρίσει το σύνολο των φακέλων. Οι δαπάνες αυτές αφορούσαν κυρίως μικρές προμήθειες (από 100 έως 300 ευρώ) αναλωσίμων των Περιφερειακών Υπηρεσιών (για εκτυπωτικά μηχανήματα, γραφική ύλη, υλικά καθαρισμού κλπ) καθώς και υπηρεσιών (επισκευές μικρής κλίμακας που αφορούσαν είτε συντηρήσεις κτηρίων είτε εξοπλισμού).</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Το γεγονός της μη εκκαθαρίσεως των δαπανών αυτών έχει ως συνέπεια τη μη αποκατάσταση των παγίων προκαταβολών έτους 2012, 2017 και 2018 κυρίως των αποκεντρωμένων υπηρεσιών του ΥΠΑΑΤ με αποτέλεσμα τη μη απαλλαγή των υπολόγων οι οποίοι δεν φέρουν καμία ευθύνη για την τηρηθείσα διαδικασία και τη δημιουργηθείσα κατάσταση.</w:t>
      </w:r>
    </w:p>
    <w:p w:rsidR="00CE008C" w:rsidRPr="00687F57" w:rsidRDefault="00CE008C" w:rsidP="00CE008C">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Για τους ανωτέρω λόγους προτείνεται η νομοθετική ρύθμιση της παρ</w:t>
      </w:r>
      <w:r w:rsidR="00753A95" w:rsidRPr="00687F57">
        <w:rPr>
          <w:rFonts w:asciiTheme="minorHAnsi" w:hAnsiTheme="minorHAnsi" w:cstheme="minorHAnsi"/>
          <w:sz w:val="24"/>
          <w:szCs w:val="24"/>
        </w:rPr>
        <w:t>.</w:t>
      </w:r>
      <w:r w:rsidRPr="00687F57">
        <w:rPr>
          <w:rFonts w:asciiTheme="minorHAnsi" w:hAnsiTheme="minorHAnsi" w:cstheme="minorHAnsi"/>
          <w:sz w:val="24"/>
          <w:szCs w:val="24"/>
        </w:rPr>
        <w:t xml:space="preserve"> 3, προκειμένου οι δαπάνες αυτές να εκκαθαριστούν από τη Δ</w:t>
      </w:r>
      <w:r w:rsidR="00753A95" w:rsidRPr="00687F57">
        <w:rPr>
          <w:rFonts w:asciiTheme="minorHAnsi" w:hAnsiTheme="minorHAnsi" w:cstheme="minorHAnsi"/>
          <w:sz w:val="24"/>
          <w:szCs w:val="24"/>
        </w:rPr>
        <w:t>ιεύθυ</w:t>
      </w:r>
      <w:r w:rsidRPr="00687F57">
        <w:rPr>
          <w:rFonts w:asciiTheme="minorHAnsi" w:hAnsiTheme="minorHAnsi" w:cstheme="minorHAnsi"/>
          <w:sz w:val="24"/>
          <w:szCs w:val="24"/>
        </w:rPr>
        <w:t>νση Οικονομικής Διαχείρισης χωρίς περαιτέρω καθυστερήσεις δεδομένου ότι υπάρχει σοβαρότατος κίνδυνος την επόμενη περίοδο να μας χορηγεί καμία εταιρία μικροπρομήθειες</w:t>
      </w:r>
      <w:r w:rsidR="00753A95" w:rsidRPr="00687F57">
        <w:rPr>
          <w:rFonts w:asciiTheme="minorHAnsi" w:hAnsiTheme="minorHAnsi" w:cstheme="minorHAnsi"/>
          <w:sz w:val="24"/>
          <w:szCs w:val="24"/>
        </w:rPr>
        <w:t xml:space="preserve"> στο ΥΠΑΑΤ</w:t>
      </w:r>
      <w:r w:rsidRPr="00687F57">
        <w:rPr>
          <w:rFonts w:asciiTheme="minorHAnsi" w:hAnsiTheme="minorHAnsi" w:cstheme="minorHAnsi"/>
          <w:sz w:val="24"/>
          <w:szCs w:val="24"/>
        </w:rPr>
        <w:t xml:space="preserve">, με συνέπεια να </w:t>
      </w:r>
      <w:r w:rsidR="00753A95" w:rsidRPr="00687F57">
        <w:rPr>
          <w:rFonts w:asciiTheme="minorHAnsi" w:hAnsiTheme="minorHAnsi" w:cstheme="minorHAnsi"/>
          <w:sz w:val="24"/>
          <w:szCs w:val="24"/>
        </w:rPr>
        <w:t>προκληθεί</w:t>
      </w:r>
      <w:r w:rsidRPr="00687F57">
        <w:rPr>
          <w:rFonts w:asciiTheme="minorHAnsi" w:hAnsiTheme="minorHAnsi" w:cstheme="minorHAnsi"/>
          <w:sz w:val="24"/>
          <w:szCs w:val="24"/>
        </w:rPr>
        <w:t xml:space="preserve"> αναστάτωση στη διεκπεραίωση της αποστολής των περιφερειακών μας υπηρεσιών και μείωση των εσόδων του Ταμείου. Τα ποσά φακέλων προς αποκατάσταση </w:t>
      </w:r>
      <w:r w:rsidR="00753A95" w:rsidRPr="00687F57">
        <w:rPr>
          <w:rFonts w:asciiTheme="minorHAnsi" w:hAnsiTheme="minorHAnsi" w:cstheme="minorHAnsi"/>
          <w:sz w:val="24"/>
          <w:szCs w:val="24"/>
        </w:rPr>
        <w:t xml:space="preserve">των </w:t>
      </w:r>
      <w:r w:rsidRPr="00687F57">
        <w:rPr>
          <w:rFonts w:asciiTheme="minorHAnsi" w:hAnsiTheme="minorHAnsi" w:cstheme="minorHAnsi"/>
          <w:sz w:val="24"/>
          <w:szCs w:val="24"/>
        </w:rPr>
        <w:t>ετών 2012, 2017 και 2018 ανέρχονται συνολικά σε 486.365 €.</w:t>
      </w:r>
    </w:p>
    <w:p w:rsidR="0002236B" w:rsidRPr="00687F57" w:rsidRDefault="0002236B" w:rsidP="003917A8">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t>Με την προτεινόμενη διάταξη</w:t>
      </w:r>
      <w:r w:rsidR="00CE008C" w:rsidRPr="00687F57">
        <w:rPr>
          <w:rFonts w:asciiTheme="minorHAnsi" w:hAnsiTheme="minorHAnsi" w:cstheme="minorHAnsi"/>
          <w:sz w:val="24"/>
          <w:szCs w:val="24"/>
        </w:rPr>
        <w:t xml:space="preserve"> </w:t>
      </w:r>
      <w:r w:rsidR="00687F57">
        <w:rPr>
          <w:rFonts w:asciiTheme="minorHAnsi" w:hAnsiTheme="minorHAnsi" w:cstheme="minorHAnsi"/>
          <w:sz w:val="24"/>
          <w:szCs w:val="24"/>
        </w:rPr>
        <w:t xml:space="preserve">της παρ. </w:t>
      </w:r>
      <w:r w:rsidR="00687F57">
        <w:rPr>
          <w:rFonts w:asciiTheme="minorHAnsi" w:hAnsiTheme="minorHAnsi" w:cstheme="minorHAnsi"/>
          <w:sz w:val="24"/>
          <w:szCs w:val="24"/>
          <w:lang w:val="en-GB"/>
        </w:rPr>
        <w:t>3</w:t>
      </w:r>
      <w:r w:rsidRPr="00687F57">
        <w:rPr>
          <w:rFonts w:asciiTheme="minorHAnsi" w:hAnsiTheme="minorHAnsi" w:cstheme="minorHAnsi"/>
          <w:sz w:val="24"/>
          <w:szCs w:val="24"/>
        </w:rPr>
        <w:t xml:space="preserve"> ρυθμίζονται θέματα που αφορούν την καταβολή αποζημίωσης σε ελεγκτές που διενήργησαν ελέγχους κατά τα οικονομικά έτη 2013, 2014, 2015 και 2016, σύμφωνα με την παρ. 1 του άρθρου 14 του ν. 3460/2006 (</w:t>
      </w:r>
      <w:r w:rsidRPr="00687F57">
        <w:rPr>
          <w:rFonts w:asciiTheme="minorHAnsi" w:hAnsiTheme="minorHAnsi" w:cstheme="minorHAnsi"/>
          <w:sz w:val="24"/>
          <w:szCs w:val="24"/>
          <w:lang w:val="en-US"/>
        </w:rPr>
        <w:t>A</w:t>
      </w:r>
      <w:r w:rsidR="00753A95" w:rsidRPr="00687F57">
        <w:rPr>
          <w:rFonts w:asciiTheme="minorHAnsi" w:hAnsiTheme="minorHAnsi" w:cstheme="minorHAnsi"/>
          <w:sz w:val="24"/>
          <w:szCs w:val="24"/>
        </w:rPr>
        <w:t>’</w:t>
      </w:r>
      <w:r w:rsidRPr="00687F57">
        <w:rPr>
          <w:rFonts w:asciiTheme="minorHAnsi" w:hAnsiTheme="minorHAnsi" w:cstheme="minorHAnsi"/>
          <w:sz w:val="24"/>
          <w:szCs w:val="24"/>
        </w:rPr>
        <w:t xml:space="preserve"> 105), όπως αυτή τροποποιήθηκε με την παρ. 1 του άρθρου 27 του ν. 3698/2008 (Α΄ 198). Ειδικότερα: </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 xml:space="preserve">α) Μέχρι σήμερα δεν έχει καταστεί δυνατή η πληρωμή των αποζημιώσεων σε ελεγκτές που διενήργησαν ελέγχους κατά τα οικονομικά έτη 2013, 2014, 2015 και 2016, διότι έχουν ανακύψει ζητήματα σχετικά με την παραγραφή των απαιτήσεων. </w:t>
      </w:r>
    </w:p>
    <w:p w:rsidR="0002236B" w:rsidRPr="00687F57" w:rsidRDefault="0002236B" w:rsidP="003917A8">
      <w:pPr>
        <w:pStyle w:val="HTMLPreformatted"/>
        <w:spacing w:line="360" w:lineRule="auto"/>
        <w:jc w:val="both"/>
        <w:rPr>
          <w:rFonts w:asciiTheme="minorHAnsi" w:hAnsiTheme="minorHAnsi" w:cstheme="minorHAnsi"/>
          <w:sz w:val="24"/>
          <w:szCs w:val="24"/>
        </w:rPr>
      </w:pPr>
      <w:r w:rsidRPr="00687F57">
        <w:rPr>
          <w:rFonts w:asciiTheme="minorHAnsi" w:hAnsiTheme="minorHAnsi" w:cstheme="minorHAnsi"/>
          <w:sz w:val="24"/>
          <w:szCs w:val="24"/>
        </w:rPr>
        <w:lastRenderedPageBreak/>
        <w:t>β) Οι εν λόγω έλεγχοι αφορούν την κτηνιατρική υγειονομική επιθεώρηση και τον έλεγχο των ζώων και των ζωικών προϊόντων, την φυτοϋγειονομική επιθεώρηση και τον φυτοϋγειονομικό έλεγχο των φυτών και των φυτικών προϊόντων ή άλλων αντικειμένων, την επιθεώρηση και τον έλεγχο ποιότητας και καταλληλότητας των τροφίμων φυτικής προέλευσης</w:t>
      </w:r>
      <w:r w:rsidR="00753A95" w:rsidRPr="00687F57">
        <w:rPr>
          <w:rFonts w:asciiTheme="minorHAnsi" w:hAnsiTheme="minorHAnsi" w:cstheme="minorHAnsi"/>
          <w:sz w:val="24"/>
          <w:szCs w:val="24"/>
        </w:rPr>
        <w:t>,</w:t>
      </w:r>
      <w:r w:rsidRPr="00687F57">
        <w:rPr>
          <w:rFonts w:asciiTheme="minorHAnsi" w:hAnsiTheme="minorHAnsi" w:cstheme="minorHAnsi"/>
          <w:sz w:val="24"/>
          <w:szCs w:val="24"/>
        </w:rPr>
        <w:t xml:space="preserve"> καθώς και τον έλεγχο των ζωοτροφών.</w:t>
      </w:r>
    </w:p>
    <w:p w:rsidR="0002236B" w:rsidRPr="00687F57" w:rsidRDefault="0002236B" w:rsidP="003917A8">
      <w:pPr>
        <w:spacing w:line="360" w:lineRule="auto"/>
        <w:jc w:val="both"/>
        <w:rPr>
          <w:rFonts w:asciiTheme="minorHAnsi" w:hAnsiTheme="minorHAnsi" w:cstheme="minorHAnsi"/>
        </w:rPr>
      </w:pPr>
      <w:r w:rsidRPr="00687F57">
        <w:rPr>
          <w:rFonts w:asciiTheme="minorHAnsi" w:hAnsiTheme="minorHAnsi" w:cstheme="minorHAnsi"/>
        </w:rPr>
        <w:t>Κατόπιν των ανωτέρω, προτείνεται η υπόψη διάταξη για να προβλεφθεί ρητά ότι οι δαπάνες για τους εν λόγω ελέγχους των Περιφερειών, οι οποίες προέκυψαν κατά τα οικονομικά έτη 2013, 2014, 2015 και 2016, εκκαθαρίζονται σε βάρος των πιστώσεων του προϋπολογισμού των οικείων Περιφερειών έτους 2020, κατά παρέκκλιση κάθε γενικής ή ειδικής διάταξης, καθώς και των διατάξεων περί παραγραφής (ν. 2362/1995, Α΄ 247 και ν. 4270/2014, Α΄ 143).</w:t>
      </w:r>
    </w:p>
    <w:p w:rsidR="0002236B" w:rsidRPr="00687F57" w:rsidRDefault="0002236B" w:rsidP="003917A8">
      <w:pPr>
        <w:spacing w:line="360" w:lineRule="auto"/>
        <w:jc w:val="both"/>
        <w:rPr>
          <w:rFonts w:asciiTheme="minorHAnsi" w:hAnsiTheme="minorHAnsi" w:cstheme="minorHAnsi"/>
        </w:rPr>
      </w:pPr>
    </w:p>
    <w:p w:rsidR="0002236B" w:rsidRPr="00687F57" w:rsidRDefault="0002236B" w:rsidP="007C1BEA">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1</w:t>
      </w:r>
      <w:r w:rsidR="005E0F67" w:rsidRPr="00687F57">
        <w:rPr>
          <w:rFonts w:asciiTheme="minorHAnsi" w:hAnsiTheme="minorHAnsi" w:cstheme="minorHAnsi"/>
          <w:b/>
          <w:bCs/>
        </w:rPr>
        <w:t>9</w:t>
      </w:r>
    </w:p>
    <w:p w:rsidR="0002236B" w:rsidRPr="00687F57" w:rsidRDefault="0002236B" w:rsidP="00687F57">
      <w:pPr>
        <w:spacing w:line="360" w:lineRule="auto"/>
        <w:rPr>
          <w:rFonts w:asciiTheme="minorHAnsi" w:hAnsiTheme="minorHAnsi" w:cstheme="minorHAnsi"/>
          <w:b/>
          <w:lang w:val="en-GB"/>
        </w:rPr>
      </w:pPr>
      <w:r w:rsidRPr="00687F57">
        <w:rPr>
          <w:rFonts w:asciiTheme="minorHAnsi" w:hAnsiTheme="minorHAnsi" w:cstheme="minorHAnsi"/>
          <w:b/>
        </w:rPr>
        <w:t>Δαπάνες προγραμμάτων βρουκέλλωσης και σπογγώδους εγκεφαλοπάθειας</w:t>
      </w:r>
    </w:p>
    <w:p w:rsidR="0002236B" w:rsidRPr="00687F57" w:rsidRDefault="0002236B" w:rsidP="007A5F87">
      <w:pPr>
        <w:spacing w:line="360" w:lineRule="auto"/>
        <w:jc w:val="both"/>
        <w:rPr>
          <w:rFonts w:asciiTheme="minorHAnsi" w:hAnsiTheme="minorHAnsi" w:cstheme="minorHAnsi"/>
        </w:rPr>
      </w:pPr>
      <w:r w:rsidRPr="00687F57">
        <w:rPr>
          <w:rFonts w:asciiTheme="minorHAnsi" w:hAnsiTheme="minorHAnsi" w:cstheme="minorHAnsi"/>
        </w:rPr>
        <w:t>Με την προτεινόμενη διάταξη της παρ. 1 ρυθμίζεται η καταβολή της αμοιβής των ιδιωτών κτηνιάτρων εκτροφής, οι οποίοι προσλήφθηκαν από τις Περιφέρειες  της χώρας με σύναψη σύμβασης για την εφαρμογή του προγράμματος ελέγχου και εκρίζωσης της βρουκέλλωσης των αιγοπροβάτων και των αγελαίων βοοειδών (REV-1) έτους 2016, στ</w:t>
      </w:r>
      <w:r w:rsidR="00753A95" w:rsidRPr="00687F57">
        <w:rPr>
          <w:rFonts w:asciiTheme="minorHAnsi" w:hAnsiTheme="minorHAnsi" w:cstheme="minorHAnsi"/>
        </w:rPr>
        <w:t>ο</w:t>
      </w:r>
      <w:r w:rsidRPr="00687F57">
        <w:rPr>
          <w:rFonts w:asciiTheme="minorHAnsi" w:hAnsiTheme="minorHAnsi" w:cstheme="minorHAnsi"/>
        </w:rPr>
        <w:t xml:space="preserve"> πλαίσι</w:t>
      </w:r>
      <w:r w:rsidR="00753A95" w:rsidRPr="00687F57">
        <w:rPr>
          <w:rFonts w:asciiTheme="minorHAnsi" w:hAnsiTheme="minorHAnsi" w:cstheme="minorHAnsi"/>
        </w:rPr>
        <w:t>ο</w:t>
      </w:r>
      <w:r w:rsidRPr="00687F57">
        <w:rPr>
          <w:rFonts w:asciiTheme="minorHAnsi" w:hAnsiTheme="minorHAnsi" w:cstheme="minorHAnsi"/>
        </w:rPr>
        <w:t xml:space="preserve"> του προγράμματος της εξυγίανσης του ζωικού κεφαλαίου της χώρας </w:t>
      </w:r>
      <w:r w:rsidR="00753A95" w:rsidRPr="00687F57">
        <w:rPr>
          <w:rFonts w:asciiTheme="minorHAnsi" w:hAnsiTheme="minorHAnsi" w:cstheme="minorHAnsi"/>
        </w:rPr>
        <w:t xml:space="preserve">του </w:t>
      </w:r>
      <w:r w:rsidRPr="00687F57">
        <w:rPr>
          <w:rFonts w:asciiTheme="minorHAnsi" w:hAnsiTheme="minorHAnsi" w:cstheme="minorHAnsi"/>
        </w:rPr>
        <w:t>έτους 2016, όπως αυτό εγκρίθηκε  με την υπ’ αρ. 1677/65137/06.06.2016 κοινή υπουργική απόφαση (Β΄ 1639) και σε εφαρμογή της υπ’ αρ. 1506/59229/20.05.2016 υπουργικής απόφασης (Β΄ 1502). Ειδικότερα, οι κτηνίατροι προσλήφθηκαν από τις Περιφέρειες, εκτέλεσαν το έργο τους, εξέδωσαν τιμολόγια για το έτος 2016, αλλά η σχετική δαπάνη της αμοιβής τους, συνολικού ύψους 43.269,73€, μεταφέρθηκε από το Υπουργείο Αγροτικής Ανάπτυξης και Τροφίμων στις Περιφέρειες μέσω των Αποκεντρωμένων Διοικήσεων της χώρας στα μέσα του οικονομικού έτους 2017, με αποτέλεσμα λόγω των διατάξεων του ν. 4270/2014 (Α΄ 143) και του π.δ. 80/2016 (Α΄145) περί ανάληψης υποχρεώσεων από τους διατάκτες, να μην είναι δυνατή η πληρωμή τους από τις Περιφέρειες.</w:t>
      </w:r>
    </w:p>
    <w:p w:rsidR="0002236B" w:rsidRPr="00687F57" w:rsidRDefault="0002236B" w:rsidP="007A5F87">
      <w:pPr>
        <w:spacing w:line="360" w:lineRule="auto"/>
        <w:jc w:val="both"/>
        <w:rPr>
          <w:rFonts w:asciiTheme="minorHAnsi" w:hAnsiTheme="minorHAnsi" w:cstheme="minorHAnsi"/>
        </w:rPr>
      </w:pPr>
      <w:r w:rsidRPr="00687F57">
        <w:rPr>
          <w:rFonts w:asciiTheme="minorHAnsi" w:hAnsiTheme="minorHAnsi" w:cstheme="minorHAnsi"/>
        </w:rPr>
        <w:t xml:space="preserve">Με την προτεινόμενη ρύθμιση δίνεται η δυνατότητα καταβολής της αμοιβής τους,  χωρίς επιβάρυνση του προϋπολογισμού του Υπουργείου Αγροτικής Ανάπτυξης και Τροφίμων ή των Περιφερειών, δεδομένου ότι οι σχετικές πιστώσεις έχουν </w:t>
      </w:r>
      <w:r w:rsidRPr="00687F57">
        <w:rPr>
          <w:rFonts w:asciiTheme="minorHAnsi" w:hAnsiTheme="minorHAnsi" w:cstheme="minorHAnsi"/>
        </w:rPr>
        <w:lastRenderedPageBreak/>
        <w:t>μεταφερθεί αλλά δεν είναι δυνατόν να καταβληθούν. Κατόπιν των ανωτέρω, προτείνεται η υπόψη διάταξη για να προβλεφθεί ρητά ότι οι ανωτέρω δαπάνες εκκαθαρίζονται σε βάρος των πιστώσεων του προϋπολογισμού των οικείων Περιφερειών έτους 2020, κατά παρέκκλιση κάθε γενικής ή ειδικής διάταξης, καθώς και των διατάξεων περί παραγραφής.</w:t>
      </w:r>
    </w:p>
    <w:p w:rsidR="0002236B" w:rsidRPr="00687F57" w:rsidRDefault="0002236B" w:rsidP="00E375F0">
      <w:pPr>
        <w:spacing w:line="360" w:lineRule="auto"/>
        <w:jc w:val="both"/>
        <w:rPr>
          <w:rFonts w:asciiTheme="minorHAnsi" w:hAnsiTheme="minorHAnsi" w:cstheme="minorHAnsi"/>
        </w:rPr>
      </w:pPr>
      <w:r w:rsidRPr="00687F57">
        <w:rPr>
          <w:rFonts w:asciiTheme="minorHAnsi" w:hAnsiTheme="minorHAnsi" w:cstheme="minorHAnsi"/>
        </w:rPr>
        <w:t>Η διάταξη της παρ. 2 προτείνεται στο πλαίσιο εφαρμογής ευρύτερων ενωσιακών κανόνων για την πρόληψη, καταπολέμηση και εξάλειψη ορισμένων μεταδοτικών σπογγωδών εγκεφαλοπαθειών (ΜΣΕ) στα ζώα, με την εφαρμογή ετήσιων προγραμμάτων επιτήρησης, τα οποία κατευθύνονται στη συστηματική έρευνα και εργαστηριακή διάγνωση της σπογγώδους εγκεφαλοπάθειας με εφαρμογή κατάλληλων εργαστηριακών τεχνικών στο</w:t>
      </w:r>
      <w:r w:rsidR="004959D0" w:rsidRPr="00687F57">
        <w:rPr>
          <w:rFonts w:asciiTheme="minorHAnsi" w:hAnsiTheme="minorHAnsi" w:cstheme="minorHAnsi"/>
        </w:rPr>
        <w:t>ν</w:t>
      </w:r>
      <w:r w:rsidRPr="00687F57">
        <w:rPr>
          <w:rFonts w:asciiTheme="minorHAnsi" w:hAnsiTheme="minorHAnsi" w:cstheme="minorHAnsi"/>
        </w:rPr>
        <w:t xml:space="preserve"> ζωικό πληθυσμό της χώρας. </w:t>
      </w:r>
    </w:p>
    <w:p w:rsidR="0002236B" w:rsidRPr="00687F57" w:rsidRDefault="0002236B" w:rsidP="00E375F0">
      <w:pPr>
        <w:spacing w:line="360" w:lineRule="auto"/>
        <w:jc w:val="both"/>
        <w:rPr>
          <w:rFonts w:asciiTheme="minorHAnsi" w:hAnsiTheme="minorHAnsi" w:cstheme="minorHAnsi"/>
        </w:rPr>
      </w:pPr>
      <w:r w:rsidRPr="00687F57">
        <w:rPr>
          <w:rFonts w:asciiTheme="minorHAnsi" w:hAnsiTheme="minorHAnsi" w:cstheme="minorHAnsi"/>
        </w:rPr>
        <w:t>Με την προτεινόμενη διάταξη προβλέπεται η καταβολή της επιχορήγησης που δικαιούνταν</w:t>
      </w:r>
      <w:r w:rsidR="004959D0" w:rsidRPr="00687F57">
        <w:rPr>
          <w:rFonts w:asciiTheme="minorHAnsi" w:hAnsiTheme="minorHAnsi" w:cstheme="minorHAnsi"/>
        </w:rPr>
        <w:t>,</w:t>
      </w:r>
      <w:r w:rsidRPr="00687F57">
        <w:rPr>
          <w:rFonts w:asciiTheme="minorHAnsi" w:hAnsiTheme="minorHAnsi" w:cstheme="minorHAnsi"/>
        </w:rPr>
        <w:t xml:space="preserve"> υπό τη μορφή κινήτρου, οι κτηνοτρόφοι κατά τα έτη 2014 και 2015 για τη συμμετοχή τους στην εφαρμογή προγραμμάτων επιτήρησης ΜΣΕ και ΣΕΒ (σπογγώδης εγκεφαλοπάθεια βοοειδών) ανεξάρτητα αν δείγματα νεκρών ζώων εξετάσθηκαν ή όχι για ΣΕΒ ή ΜΣΕ. Ειδικότερα, σύμφωνα με τις υπουργικές αποφάσεις περί οικονομικών αποζημιώσεων και ενισχύσεων λόγω επιβολής κτηνιατρικών μέτρων εξυγίανσης του ζωικού κεφαλαίου κατά τα έτη 2011 έως και 2016, κρίθηκαν ως επιλέξιμες οι δαπάνες για την επιχορήγηση των εκτροφέων βοοειδών, προβάτων ή αιγών εφόσον προσκόμισαν στις αρμόδιες κτηνιατρικές αρχές νεκρά ζώα ηλικίας άνω των 24 ή 48 μηνών για τα βοοειδή και άνω των 18 μηνών για τις αίγες και τα πρόβατα, ανεξαρτήτως αιτιολογίας θανάτου και εφόσον δεν παρήλθαν 48 ώρες από το</w:t>
      </w:r>
      <w:r w:rsidR="004959D0" w:rsidRPr="00687F57">
        <w:rPr>
          <w:rFonts w:asciiTheme="minorHAnsi" w:hAnsiTheme="minorHAnsi" w:cstheme="minorHAnsi"/>
        </w:rPr>
        <w:t>ν</w:t>
      </w:r>
      <w:r w:rsidRPr="00687F57">
        <w:rPr>
          <w:rFonts w:asciiTheme="minorHAnsi" w:hAnsiTheme="minorHAnsi" w:cstheme="minorHAnsi"/>
        </w:rPr>
        <w:t xml:space="preserve"> θάνατ</w:t>
      </w:r>
      <w:r w:rsidR="004959D0" w:rsidRPr="00687F57">
        <w:rPr>
          <w:rFonts w:asciiTheme="minorHAnsi" w:hAnsiTheme="minorHAnsi" w:cstheme="minorHAnsi"/>
        </w:rPr>
        <w:t>ό</w:t>
      </w:r>
      <w:r w:rsidRPr="00687F57">
        <w:rPr>
          <w:rFonts w:asciiTheme="minorHAnsi" w:hAnsiTheme="minorHAnsi" w:cstheme="minorHAnsi"/>
        </w:rPr>
        <w:t xml:space="preserve"> τους, προκειμένου να εξεταστούν για ΜΣΕ. Το ποσό επιχορήγησης καθορίστηκε σε εκατόν είκοσι ευρώ για τα βοοειδή και σε τριάντα ευρώ για τα αιγοπρόβατα. Στην παρ. 1 του άρθρου 13 των ανωτέρω κοινών υπουργικών αποφάσεων περί προϋποθέσεων και δικαιολογητικών για την καταβολή στους δικαιούχους της επιχορήγησης που προκύπτει από τη δήλωση νεκρών ζώων, προβλέπεται η κατάρτιση από την αρμόδια κτηνιατρική αρχή κατάστασης πληρωμής των δικαιούχων με τα αναλογούντα ποσά, βάσει των αναλυτικών στοιχείων των νεκρών ζώων που δειγματίζονται και εξετάζονται εργαστηριακά. Ως εκ τούτου, για την καταβολή του ποσού επιχορήγησης που </w:t>
      </w:r>
      <w:r w:rsidRPr="00687F57">
        <w:rPr>
          <w:rFonts w:asciiTheme="minorHAnsi" w:hAnsiTheme="minorHAnsi" w:cstheme="minorHAnsi"/>
        </w:rPr>
        <w:lastRenderedPageBreak/>
        <w:t>προκύπτει από τη δήλωση νεκρών ζώων προβλέπεται η ολοκλήρωση της δειγματοληψίας και της εργαστηριακής εξέτασης των δειγμάτων.</w:t>
      </w:r>
    </w:p>
    <w:p w:rsidR="0002236B" w:rsidRPr="00687F57" w:rsidRDefault="0002236B" w:rsidP="00E375F0">
      <w:pPr>
        <w:spacing w:line="360" w:lineRule="auto"/>
        <w:jc w:val="both"/>
        <w:rPr>
          <w:rFonts w:asciiTheme="minorHAnsi" w:hAnsiTheme="minorHAnsi" w:cstheme="minorHAnsi"/>
        </w:rPr>
      </w:pPr>
      <w:r w:rsidRPr="00687F57">
        <w:rPr>
          <w:rFonts w:asciiTheme="minorHAnsi" w:hAnsiTheme="minorHAnsi" w:cstheme="minorHAnsi"/>
        </w:rPr>
        <w:t>Κατά τα έτη 2014 και 2015, ένας αριθμός δειγμάτων (6.583  στο σύνολο, εκ των οποίων 601 βοοειδή, 5.514 πρόβατα και 468 αίγες) από νεκρά ζώα στην περιφερειακή ενότητα Λάρισας, δεν υπεβλήθη σε εργαστηριακή εξέταση στο Κτηνιατρικό Εργαστήριο Ιωαννίνων λόγω έλλειψης των κατάλληλων αντιδραστηρίων. Τα δείγματα αυτά καταστράφηκαν το Νοέμβριο του 2016. Με την προτεινόμενη ρύθμιση δίνεται η δυνατότητα καταβολής επιχορήγησης για τη συμμετοχή των κτηνοτρόφων στα προγράμματα επιτήρησης, ανεξαρτήτως εάν τα προσκομιζόμενα από αυτούς προς τις κτηνιατρικές αρχές δείγματα νεκρών ζώων εξετάσθηκαν τελικώς εργαστηριακά για ΣΕΒ ή ΜΣΕ, δεδομένης της αποσύνδεσης της επιχορήγησης από την τεκμηρίωση διενέργειας των εργαστηριακών εξετάσεων, μιας και η πραγματοποίησή τους ή μη δεν οφείλεται σε υπαιτιότητα των κτηνοτρόφων. Επισημαίνεται ότι στην αριθμ. 1970/66273/2017 κοινή υπουργική απόφαση (Β΄ 2193) για το πρόγραμμα αποζημιώσεων έτους 2017 προβλέπεται η αποσύνδεση της επιχορήγησης από την τεκμηρίωση διενέργειας των εργαστηριακών εξετάσεων και στις προβλεπόμενες προϋποθέσεις – δικαιολογητικά περιλαμβάνεται μόνο η τεκμηρίωση της δειγματοληψίας.</w:t>
      </w:r>
    </w:p>
    <w:p w:rsidR="0002236B" w:rsidRPr="00687F57" w:rsidRDefault="0002236B" w:rsidP="007A5F87">
      <w:pPr>
        <w:spacing w:line="360" w:lineRule="auto"/>
        <w:jc w:val="both"/>
        <w:rPr>
          <w:rFonts w:asciiTheme="minorHAnsi" w:hAnsiTheme="minorHAnsi" w:cstheme="minorHAnsi"/>
        </w:rPr>
      </w:pPr>
    </w:p>
    <w:p w:rsidR="0002236B" w:rsidRPr="00687F57" w:rsidRDefault="0002236B" w:rsidP="007C1BEA">
      <w:pPr>
        <w:spacing w:line="360" w:lineRule="auto"/>
        <w:outlineLvl w:val="0"/>
        <w:rPr>
          <w:rFonts w:asciiTheme="minorHAnsi" w:hAnsiTheme="minorHAnsi" w:cstheme="minorHAnsi"/>
          <w:b/>
          <w:bCs/>
        </w:rPr>
      </w:pPr>
      <w:r w:rsidRPr="00687F57">
        <w:rPr>
          <w:rFonts w:asciiTheme="minorHAnsi" w:hAnsiTheme="minorHAnsi" w:cstheme="minorHAnsi"/>
          <w:b/>
          <w:bCs/>
        </w:rPr>
        <w:t xml:space="preserve">Επί του άρθρου </w:t>
      </w:r>
      <w:r w:rsidR="005E0F67" w:rsidRPr="00687F57">
        <w:rPr>
          <w:rFonts w:asciiTheme="minorHAnsi" w:hAnsiTheme="minorHAnsi" w:cstheme="minorHAnsi"/>
          <w:b/>
          <w:bCs/>
        </w:rPr>
        <w:t>20</w:t>
      </w:r>
    </w:p>
    <w:p w:rsidR="0002236B" w:rsidRPr="00687F57" w:rsidRDefault="0002236B" w:rsidP="00687F57">
      <w:pPr>
        <w:spacing w:line="360" w:lineRule="auto"/>
        <w:rPr>
          <w:rFonts w:asciiTheme="minorHAnsi" w:hAnsiTheme="minorHAnsi" w:cstheme="minorHAnsi"/>
          <w:b/>
          <w:bCs/>
          <w:lang w:val="en-GB"/>
        </w:rPr>
      </w:pPr>
      <w:r w:rsidRPr="00687F57">
        <w:rPr>
          <w:rFonts w:asciiTheme="minorHAnsi" w:hAnsiTheme="minorHAnsi" w:cstheme="minorHAnsi"/>
          <w:b/>
          <w:bCs/>
        </w:rPr>
        <w:t xml:space="preserve">Επίδοση διοικητικών εγγράφων – Ερευνητικό προσωπικό </w:t>
      </w:r>
    </w:p>
    <w:p w:rsidR="0002236B" w:rsidRPr="00687F57" w:rsidRDefault="0002236B" w:rsidP="002A1FFA">
      <w:pPr>
        <w:spacing w:line="360" w:lineRule="auto"/>
        <w:jc w:val="both"/>
        <w:rPr>
          <w:rFonts w:asciiTheme="minorHAnsi" w:hAnsiTheme="minorHAnsi" w:cstheme="minorHAnsi"/>
          <w:bCs/>
        </w:rPr>
      </w:pPr>
      <w:r w:rsidRPr="00687F57">
        <w:rPr>
          <w:rFonts w:asciiTheme="minorHAnsi" w:hAnsiTheme="minorHAnsi" w:cstheme="minorHAnsi"/>
          <w:bCs/>
        </w:rPr>
        <w:t xml:space="preserve">Στην ειδική έκθεση του Συνηγόρου του Πολίτη με θέμα «Ενισχύσεις και Πρωτογενής Παραγωγή έτους 2019» προτείνεται η θέσπιση συγκεκριμένων διατάξεων νόμου ή κανονιστικών πράξεων που να προβλέπουν ρητά τον τρόπο και τα μέσα κοινοποίησης των διοικητικών πράξεων επιβολής κυρώσεων. </w:t>
      </w:r>
    </w:p>
    <w:p w:rsidR="0002236B" w:rsidRPr="00687F57" w:rsidRDefault="004959D0" w:rsidP="002A1FFA">
      <w:pPr>
        <w:spacing w:line="360" w:lineRule="auto"/>
        <w:jc w:val="both"/>
        <w:rPr>
          <w:rFonts w:asciiTheme="minorHAnsi" w:hAnsiTheme="minorHAnsi" w:cstheme="minorHAnsi"/>
          <w:bCs/>
        </w:rPr>
      </w:pPr>
      <w:r w:rsidRPr="00687F57">
        <w:rPr>
          <w:rFonts w:asciiTheme="minorHAnsi" w:hAnsiTheme="minorHAnsi" w:cstheme="minorHAnsi"/>
          <w:bCs/>
        </w:rPr>
        <w:t>Εξάλλου, ο</w:t>
      </w:r>
      <w:r w:rsidR="0002236B" w:rsidRPr="00687F57">
        <w:rPr>
          <w:rFonts w:asciiTheme="minorHAnsi" w:hAnsiTheme="minorHAnsi" w:cstheme="minorHAnsi"/>
          <w:bCs/>
        </w:rPr>
        <w:t>ι επιδόσεις των υπουργικών αποφάσεων και των έγγραφων προσκλήσεων για την επιστροφή παρανόμως και αχρεωστήτως καταβληθέντων, καθώς και για τις οφειλές από τις διοικητικές κυρώσεις, έχουν υψηλό διοικητικό και οικονομικό κόστος για το κράτος. Σε πολλές περιπτώσεις το συνολικό οικονομικό και διοικητικό κόστος επίδοσης είναι δυσανάλογο ως προς το συνολικό όφελος που αποκομίζει το κράτος από τα ανακτώμενα χρηματικά ποσά.</w:t>
      </w:r>
    </w:p>
    <w:p w:rsidR="0002236B" w:rsidRPr="00687F57" w:rsidRDefault="0002236B" w:rsidP="002A1FFA">
      <w:pPr>
        <w:spacing w:line="360" w:lineRule="auto"/>
        <w:jc w:val="both"/>
        <w:rPr>
          <w:rFonts w:asciiTheme="minorHAnsi" w:hAnsiTheme="minorHAnsi" w:cstheme="minorHAnsi"/>
          <w:bCs/>
        </w:rPr>
      </w:pPr>
      <w:r w:rsidRPr="00687F57">
        <w:rPr>
          <w:rFonts w:asciiTheme="minorHAnsi" w:hAnsiTheme="minorHAnsi" w:cstheme="minorHAnsi"/>
          <w:bCs/>
        </w:rPr>
        <w:lastRenderedPageBreak/>
        <w:t xml:space="preserve">Με την προτεινόμενη παρ. 1 προτείνεται η τροποποίηση της παρ. 2 του άρθρου 28 του ν. 2520/1997, προκειμένου να προβλεφθεί ότι οι αποφάσεις επιστροφής αχρεωστήτως καταβληθέντων ποσών, λόγω μη τηρήσεως </w:t>
      </w:r>
      <w:r w:rsidR="004959D0" w:rsidRPr="00687F57">
        <w:rPr>
          <w:rFonts w:asciiTheme="minorHAnsi" w:hAnsiTheme="minorHAnsi" w:cstheme="minorHAnsi"/>
          <w:bCs/>
        </w:rPr>
        <w:t xml:space="preserve">ενωσιακών </w:t>
      </w:r>
      <w:r w:rsidRPr="00687F57">
        <w:rPr>
          <w:rFonts w:asciiTheme="minorHAnsi" w:hAnsiTheme="minorHAnsi" w:cstheme="minorHAnsi"/>
          <w:bCs/>
        </w:rPr>
        <w:t>ή εθνικών διατάξεων, σε βάρος του Ειδικού Λογαριασμού Εγγυήσεων Γεωργικών Προϊόντων (Ε.Λ.Ε.ΓΕ.Π.), οι αποφάσεις επιβολής συναφών διοικητικών κυρώσεων και οι σχετικές προσκλήσεις για τη διατύπωση παρατηρήσεων επιδίδονται σύμφωνα με τον Κώδικα Φορολογικής Διαδικασίας (ν. 4174/2013, Α΄ 170). Η προτεινόμενη ρύθμιση συμβά</w:t>
      </w:r>
      <w:r w:rsidR="004959D0" w:rsidRPr="00687F57">
        <w:rPr>
          <w:rFonts w:asciiTheme="minorHAnsi" w:hAnsiTheme="minorHAnsi" w:cstheme="minorHAnsi"/>
          <w:bCs/>
        </w:rPr>
        <w:t>λ</w:t>
      </w:r>
      <w:r w:rsidRPr="00687F57">
        <w:rPr>
          <w:rFonts w:asciiTheme="minorHAnsi" w:hAnsiTheme="minorHAnsi" w:cstheme="minorHAnsi"/>
          <w:bCs/>
        </w:rPr>
        <w:t>λει στη μείωση του διοικητικού και οικονομικού κόστους και επιταχύνει τις διαδικασίες επίδοσης των σχετικών υπουργικών αποφάσεων και των έγγραφων προσκλήσεων, δεδομένου ότι στο άρθρο 5 του Κώδικα Φορολογικής Διαδικασίας προβλέπεται και η δυνατότητα ηλεκτρονικής επίδοσης</w:t>
      </w:r>
      <w:r w:rsidR="004959D0" w:rsidRPr="00687F57">
        <w:rPr>
          <w:rFonts w:asciiTheme="minorHAnsi" w:hAnsiTheme="minorHAnsi" w:cstheme="minorHAnsi"/>
          <w:bCs/>
        </w:rPr>
        <w:t>,</w:t>
      </w:r>
      <w:r w:rsidRPr="00687F57">
        <w:rPr>
          <w:rFonts w:asciiTheme="minorHAnsi" w:hAnsiTheme="minorHAnsi" w:cstheme="minorHAnsi"/>
          <w:bCs/>
        </w:rPr>
        <w:t xml:space="preserve"> η οποία διευκολύνει σημαντικά τη διοικητική διεκπεραίωση των υποθέσεων αυτών. Τέλος προβλέπεται εξουσιοδοτική διάταξη στον Υπουργό Αγροτικής Ανάπτυξης και Τροφίμων για τη ρύθμιση των τεχνικών λεπτομερειών και θεμάτων εφαρμογής της προτεινόμενης διάταξης.</w:t>
      </w:r>
    </w:p>
    <w:p w:rsidR="0002236B" w:rsidRPr="00687F57" w:rsidRDefault="0002236B" w:rsidP="001F0A52">
      <w:pPr>
        <w:spacing w:line="360" w:lineRule="auto"/>
        <w:jc w:val="both"/>
        <w:rPr>
          <w:rFonts w:asciiTheme="minorHAnsi" w:hAnsiTheme="minorHAnsi" w:cstheme="minorHAnsi"/>
          <w:bCs/>
        </w:rPr>
      </w:pPr>
      <w:r w:rsidRPr="00687F57">
        <w:rPr>
          <w:rFonts w:asciiTheme="minorHAnsi" w:hAnsiTheme="minorHAnsi" w:cstheme="minorHAnsi"/>
          <w:bCs/>
        </w:rPr>
        <w:t>Με την προτεινόμενη παρ. 2 ρυθμίζεται η επέκταση των ρυθμίσεων και στους ερευνητές του Μ</w:t>
      </w:r>
      <w:r w:rsidR="004959D0" w:rsidRPr="00687F57">
        <w:rPr>
          <w:rFonts w:asciiTheme="minorHAnsi" w:hAnsiTheme="minorHAnsi" w:cstheme="minorHAnsi"/>
          <w:bCs/>
        </w:rPr>
        <w:t xml:space="preserve">πενάκειου </w:t>
      </w:r>
      <w:r w:rsidRPr="00687F57">
        <w:rPr>
          <w:rFonts w:asciiTheme="minorHAnsi" w:hAnsiTheme="minorHAnsi" w:cstheme="minorHAnsi"/>
          <w:bCs/>
        </w:rPr>
        <w:t>Φ</w:t>
      </w:r>
      <w:r w:rsidR="004959D0" w:rsidRPr="00687F57">
        <w:rPr>
          <w:rFonts w:asciiTheme="minorHAnsi" w:hAnsiTheme="minorHAnsi" w:cstheme="minorHAnsi"/>
          <w:bCs/>
        </w:rPr>
        <w:t>υτοπαθολογικού Ινστιτούτου</w:t>
      </w:r>
      <w:r w:rsidRPr="00687F57">
        <w:rPr>
          <w:rFonts w:asciiTheme="minorHAnsi" w:hAnsiTheme="minorHAnsi" w:cstheme="minorHAnsi"/>
          <w:bCs/>
        </w:rPr>
        <w:t xml:space="preserve"> </w:t>
      </w:r>
      <w:r w:rsidR="00EE0ACF" w:rsidRPr="00687F57">
        <w:rPr>
          <w:rFonts w:asciiTheme="minorHAnsi" w:hAnsiTheme="minorHAnsi" w:cstheme="minorHAnsi"/>
          <w:bCs/>
        </w:rPr>
        <w:t xml:space="preserve">(Μ.Φ.Ι.) </w:t>
      </w:r>
      <w:r w:rsidRPr="00687F57">
        <w:rPr>
          <w:rFonts w:asciiTheme="minorHAnsi" w:hAnsiTheme="minorHAnsi" w:cstheme="minorHAnsi"/>
          <w:bCs/>
        </w:rPr>
        <w:t>του άρθρου 12 του ν. 4575/2018 (Α’ 192)</w:t>
      </w:r>
      <w:r w:rsidR="004959D0" w:rsidRPr="00687F57">
        <w:rPr>
          <w:rFonts w:asciiTheme="minorHAnsi" w:hAnsiTheme="minorHAnsi" w:cstheme="minorHAnsi"/>
          <w:bCs/>
        </w:rPr>
        <w:t>, με το οποίο</w:t>
      </w:r>
      <w:r w:rsidRPr="00687F57">
        <w:rPr>
          <w:rFonts w:asciiTheme="minorHAnsi" w:hAnsiTheme="minorHAnsi" w:cstheme="minorHAnsi"/>
          <w:bCs/>
        </w:rPr>
        <w:t xml:space="preserve"> προβλέφθηκε η καταβολή εφάπαξ χρηματικού ποσού, μεταξύ άλλων, προς τους ερευνητές και Ειδικούς Λειτουργικούς Επιστήμονες (Ε.Λ.Ε.) των ερευνητικών κέντρων, ινστιτούτων και τεχνολογικών φορέων του άρθρου 13Α του ν. 4310/2014 (Α’ 258), οι οποίοι ήταν ενεργοί κατά το χρονικό διάστημα από 1.1.2015 έως 31.12.2016. Το εν λόγω χρηματικό ποσό αντιστοιχεί στη διαφορά μεταξύ των μηνιαίων αποδοχών που θα δικαιούνταν να λάβουν με βάση τις ισχύουσες κατά την 31</w:t>
      </w:r>
      <w:r w:rsidR="00685C5E" w:rsidRPr="00687F57">
        <w:rPr>
          <w:rFonts w:asciiTheme="minorHAnsi" w:hAnsiTheme="minorHAnsi" w:cstheme="minorHAnsi"/>
          <w:bCs/>
        </w:rPr>
        <w:t>η</w:t>
      </w:r>
      <w:r w:rsidRPr="00687F57">
        <w:rPr>
          <w:rFonts w:asciiTheme="minorHAnsi" w:hAnsiTheme="minorHAnsi" w:cstheme="minorHAnsi"/>
          <w:bCs/>
        </w:rPr>
        <w:t>.7.2012 μισθολογικές διατάξεις και των μηνιαίων αποδοχών που πράγματι τους καταβλήθηκαν με βάση το ν. 4093/2012. Κατ’ εξουσιοδότηση της διάταξης της παρ. 2 του άρθρου 12 του ν. 4575/2018 εκδόθηκε η Κ.Υ.Α. με αριθμ. πρωτ. οικ. 2/88410/ΔΕΠ/4.12.2018 (Β΄5435), με την οποία καθορίστηκ</w:t>
      </w:r>
      <w:r w:rsidR="00EE0ACF" w:rsidRPr="00687F57">
        <w:rPr>
          <w:rFonts w:asciiTheme="minorHAnsi" w:hAnsiTheme="minorHAnsi" w:cstheme="minorHAnsi"/>
          <w:bCs/>
        </w:rPr>
        <w:t>αν</w:t>
      </w:r>
      <w:r w:rsidRPr="00687F57">
        <w:rPr>
          <w:rFonts w:asciiTheme="minorHAnsi" w:hAnsiTheme="minorHAnsi" w:cstheme="minorHAnsi"/>
          <w:bCs/>
        </w:rPr>
        <w:t xml:space="preserve"> ο χρόνος καταβολής, η διαδικασία και κάθε άλλο αναγκαίο ζήτημα σχετικά με την καταβολή του ως άνω χρηματικού ποσού. </w:t>
      </w:r>
    </w:p>
    <w:p w:rsidR="0002236B" w:rsidRPr="00687F57" w:rsidRDefault="0002236B" w:rsidP="001F0A52">
      <w:pPr>
        <w:spacing w:line="360" w:lineRule="auto"/>
        <w:jc w:val="both"/>
        <w:rPr>
          <w:rFonts w:asciiTheme="minorHAnsi" w:hAnsiTheme="minorHAnsi" w:cstheme="minorHAnsi"/>
          <w:bCs/>
        </w:rPr>
      </w:pPr>
      <w:r w:rsidRPr="00687F57">
        <w:rPr>
          <w:rFonts w:asciiTheme="minorHAnsi" w:hAnsiTheme="minorHAnsi" w:cstheme="minorHAnsi"/>
          <w:bCs/>
        </w:rPr>
        <w:t>Οι ως άνω ρυθμίσεις επεκτάθηκαν και σε άλλους φορείς με σειρά νομοθετικών διατάξεων (βλ.</w:t>
      </w:r>
      <w:r w:rsidR="00EE0ACF" w:rsidRPr="00687F57">
        <w:rPr>
          <w:rFonts w:asciiTheme="minorHAnsi" w:hAnsiTheme="minorHAnsi" w:cstheme="minorHAnsi"/>
          <w:bCs/>
        </w:rPr>
        <w:t>,</w:t>
      </w:r>
      <w:r w:rsidRPr="00687F57">
        <w:rPr>
          <w:rFonts w:asciiTheme="minorHAnsi" w:hAnsiTheme="minorHAnsi" w:cstheme="minorHAnsi"/>
          <w:bCs/>
        </w:rPr>
        <w:t xml:space="preserve"> μεταξύ άλλων, τα άρθρα 85 του ν. 4582/2018 και  23 του ν. 4613/2019</w:t>
      </w:r>
      <w:r w:rsidR="00EE0ACF" w:rsidRPr="00687F57">
        <w:rPr>
          <w:rFonts w:asciiTheme="minorHAnsi" w:hAnsiTheme="minorHAnsi" w:cstheme="minorHAnsi"/>
          <w:bCs/>
        </w:rPr>
        <w:t>)</w:t>
      </w:r>
      <w:r w:rsidRPr="00687F57">
        <w:rPr>
          <w:rFonts w:asciiTheme="minorHAnsi" w:hAnsiTheme="minorHAnsi" w:cstheme="minorHAnsi"/>
          <w:bCs/>
        </w:rPr>
        <w:t xml:space="preserve">. </w:t>
      </w:r>
    </w:p>
    <w:p w:rsidR="0002236B" w:rsidRPr="00687F57" w:rsidRDefault="0002236B" w:rsidP="001F0A52">
      <w:pPr>
        <w:spacing w:line="360" w:lineRule="auto"/>
        <w:jc w:val="both"/>
        <w:rPr>
          <w:rFonts w:asciiTheme="minorHAnsi" w:hAnsiTheme="minorHAnsi" w:cstheme="minorHAnsi"/>
          <w:bCs/>
        </w:rPr>
      </w:pPr>
      <w:r w:rsidRPr="00687F57">
        <w:rPr>
          <w:rFonts w:asciiTheme="minorHAnsi" w:hAnsiTheme="minorHAnsi" w:cstheme="minorHAnsi"/>
          <w:bCs/>
        </w:rPr>
        <w:lastRenderedPageBreak/>
        <w:t>Το Μ.Φ.Ι. είναι νοµικό πρόσωπο δηµοσίου δικαίου εποπτευόμενο από το Υπουργείο Αγροτικής Ανάπτυξης και Τροφίµων και λειτουργεί ανελλιπώς από το 1929 (ν. 4160/1929, Α’ 198). Με σειρά νόμων επιχειρήθηκε αφενός μεν η επικαιροποίηση του τρόπου οργάνωσης και λειτουργίας του, αφετέρου δε η σύνδεσή του με τον ενιαίο χώρο εκπαίδευσης και έρευνας. Εντέλει, με το άρθρο 36 παρ. 2 του ν. 4589/2019 (Α’ 13) το Μ.Φ.Ι. υπήχθη στο πεδίο εφαρμογής του άρθρου 13Α του ν. 4310/2014 (Α’ 258). Η εν λόγω διάταξη της παρ. 2 του άρθρου 26 του ν. 4589/2019 δεν έχει αναδρομική ισχύ. Συνεπώς, αν πλέον το Μ</w:t>
      </w:r>
      <w:r w:rsidR="00EE0ACF" w:rsidRPr="00687F57">
        <w:rPr>
          <w:rFonts w:asciiTheme="minorHAnsi" w:hAnsiTheme="minorHAnsi" w:cstheme="minorHAnsi"/>
          <w:bCs/>
        </w:rPr>
        <w:t>.</w:t>
      </w:r>
      <w:r w:rsidRPr="00687F57">
        <w:rPr>
          <w:rFonts w:asciiTheme="minorHAnsi" w:hAnsiTheme="minorHAnsi" w:cstheme="minorHAnsi"/>
          <w:bCs/>
        </w:rPr>
        <w:t>Φ</w:t>
      </w:r>
      <w:r w:rsidR="00EE0ACF" w:rsidRPr="00687F57">
        <w:rPr>
          <w:rFonts w:asciiTheme="minorHAnsi" w:hAnsiTheme="minorHAnsi" w:cstheme="minorHAnsi"/>
          <w:bCs/>
        </w:rPr>
        <w:t>.</w:t>
      </w:r>
      <w:r w:rsidRPr="00687F57">
        <w:rPr>
          <w:rFonts w:asciiTheme="minorHAnsi" w:hAnsiTheme="minorHAnsi" w:cstheme="minorHAnsi"/>
          <w:bCs/>
        </w:rPr>
        <w:t>Ι</w:t>
      </w:r>
      <w:r w:rsidR="00EE0ACF" w:rsidRPr="00687F57">
        <w:rPr>
          <w:rFonts w:asciiTheme="minorHAnsi" w:hAnsiTheme="minorHAnsi" w:cstheme="minorHAnsi"/>
          <w:bCs/>
        </w:rPr>
        <w:t>.</w:t>
      </w:r>
      <w:r w:rsidRPr="00687F57">
        <w:rPr>
          <w:rFonts w:asciiTheme="minorHAnsi" w:hAnsiTheme="minorHAnsi" w:cstheme="minorHAnsi"/>
          <w:bCs/>
        </w:rPr>
        <w:t xml:space="preserve"> διέπεται από της διατάξεις του ν. 4310/2014 όσον αφορά τη διαδικασία και τις προϋποθέσεις πρόσληψης και εξέλιξης και τα λοιπά δικαιώματα και </w:t>
      </w:r>
      <w:r w:rsidR="00EE0ACF" w:rsidRPr="00687F57">
        <w:rPr>
          <w:rFonts w:asciiTheme="minorHAnsi" w:hAnsiTheme="minorHAnsi" w:cstheme="minorHAnsi"/>
          <w:bCs/>
        </w:rPr>
        <w:t xml:space="preserve">τις </w:t>
      </w:r>
      <w:r w:rsidRPr="00687F57">
        <w:rPr>
          <w:rFonts w:asciiTheme="minorHAnsi" w:hAnsiTheme="minorHAnsi" w:cstheme="minorHAnsi"/>
          <w:bCs/>
        </w:rPr>
        <w:t>υποχρεώσεις του ερευνητικού προσωπικού, εντούτοις το ερευνητικό προσωπικό του Μ</w:t>
      </w:r>
      <w:r w:rsidR="00EE0ACF" w:rsidRPr="00687F57">
        <w:rPr>
          <w:rFonts w:asciiTheme="minorHAnsi" w:hAnsiTheme="minorHAnsi" w:cstheme="minorHAnsi"/>
          <w:bCs/>
        </w:rPr>
        <w:t>.</w:t>
      </w:r>
      <w:r w:rsidRPr="00687F57">
        <w:rPr>
          <w:rFonts w:asciiTheme="minorHAnsi" w:hAnsiTheme="minorHAnsi" w:cstheme="minorHAnsi"/>
          <w:bCs/>
        </w:rPr>
        <w:t>Φ</w:t>
      </w:r>
      <w:r w:rsidR="00EE0ACF" w:rsidRPr="00687F57">
        <w:rPr>
          <w:rFonts w:asciiTheme="minorHAnsi" w:hAnsiTheme="minorHAnsi" w:cstheme="minorHAnsi"/>
          <w:bCs/>
        </w:rPr>
        <w:t>.</w:t>
      </w:r>
      <w:r w:rsidRPr="00687F57">
        <w:rPr>
          <w:rFonts w:asciiTheme="minorHAnsi" w:hAnsiTheme="minorHAnsi" w:cstheme="minorHAnsi"/>
          <w:bCs/>
        </w:rPr>
        <w:t>Ι</w:t>
      </w:r>
      <w:r w:rsidR="00EE0ACF" w:rsidRPr="00687F57">
        <w:rPr>
          <w:rFonts w:asciiTheme="minorHAnsi" w:hAnsiTheme="minorHAnsi" w:cstheme="minorHAnsi"/>
          <w:bCs/>
        </w:rPr>
        <w:t>.</w:t>
      </w:r>
      <w:r w:rsidRPr="00687F57">
        <w:rPr>
          <w:rFonts w:asciiTheme="minorHAnsi" w:hAnsiTheme="minorHAnsi" w:cstheme="minorHAnsi"/>
          <w:bCs/>
        </w:rPr>
        <w:t xml:space="preserve"> δεν συμπεριλαμβάνεται αυτοδικαίως στους δικαιούχους του εφάπαξ χρηματικού ποσού του άρθρου 12 του ν. 4575/2018. </w:t>
      </w:r>
    </w:p>
    <w:p w:rsidR="0002236B" w:rsidRPr="00687F57" w:rsidRDefault="0002236B" w:rsidP="001F0A52">
      <w:pPr>
        <w:spacing w:line="360" w:lineRule="auto"/>
        <w:jc w:val="both"/>
        <w:rPr>
          <w:rFonts w:asciiTheme="minorHAnsi" w:hAnsiTheme="minorHAnsi" w:cstheme="minorHAnsi"/>
          <w:bCs/>
        </w:rPr>
      </w:pPr>
      <w:r w:rsidRPr="00687F57">
        <w:rPr>
          <w:rFonts w:asciiTheme="minorHAnsi" w:hAnsiTheme="minorHAnsi" w:cstheme="minorHAnsi"/>
          <w:bCs/>
        </w:rPr>
        <w:t>Με την προτεινόμενη ρύθμιση προβλέπεται ότι το εν λόγω χρηματικό ποσό που καταβλήθηκε στο ερευνητικό προσωπικό των υπόλοιπων ερευνητικών κέντρων καταβάλλεται και στο ερευνητικό προσωπικό του Μ.Φ.Ι., δεδομένου ότι οι συγκεκριμένες κατηγορίες τελούν σε όμοιες συνθήκες. Η εν λόγω ρύθμιση είναι αναγκαία ενόψει της συνταγματικής επιταγής για ίση μεταχείριση ουσιωδώς όμοιων καταστάσεων.</w:t>
      </w:r>
    </w:p>
    <w:p w:rsidR="0002236B" w:rsidRPr="00687F57" w:rsidRDefault="0002236B" w:rsidP="003917A8">
      <w:pPr>
        <w:spacing w:line="360" w:lineRule="auto"/>
        <w:jc w:val="both"/>
        <w:rPr>
          <w:rFonts w:asciiTheme="minorHAnsi" w:hAnsiTheme="minorHAnsi" w:cstheme="minorHAnsi"/>
        </w:rPr>
      </w:pPr>
    </w:p>
    <w:p w:rsidR="0002236B" w:rsidRPr="00687F57" w:rsidRDefault="0002236B" w:rsidP="00DE7CE6">
      <w:pPr>
        <w:spacing w:line="360" w:lineRule="auto"/>
        <w:outlineLvl w:val="0"/>
        <w:rPr>
          <w:rFonts w:asciiTheme="minorHAnsi" w:hAnsiTheme="minorHAnsi" w:cstheme="minorHAnsi"/>
          <w:b/>
          <w:bCs/>
        </w:rPr>
      </w:pPr>
      <w:r w:rsidRPr="00687F57">
        <w:rPr>
          <w:rFonts w:asciiTheme="minorHAnsi" w:hAnsiTheme="minorHAnsi" w:cstheme="minorHAnsi"/>
          <w:b/>
          <w:bCs/>
        </w:rPr>
        <w:t xml:space="preserve">Επί του άρθρου </w:t>
      </w:r>
      <w:r w:rsidR="00085297" w:rsidRPr="00687F57">
        <w:rPr>
          <w:rFonts w:asciiTheme="minorHAnsi" w:hAnsiTheme="minorHAnsi" w:cstheme="minorHAnsi"/>
          <w:b/>
          <w:bCs/>
        </w:rPr>
        <w:t>2</w:t>
      </w:r>
      <w:r w:rsidR="005E0F67" w:rsidRPr="00687F57">
        <w:rPr>
          <w:rFonts w:asciiTheme="minorHAnsi" w:hAnsiTheme="minorHAnsi" w:cstheme="minorHAnsi"/>
          <w:b/>
          <w:bCs/>
        </w:rPr>
        <w:t>1</w:t>
      </w:r>
    </w:p>
    <w:p w:rsidR="0002236B" w:rsidRPr="00687F57" w:rsidRDefault="0002236B" w:rsidP="00DE7CE6">
      <w:pPr>
        <w:spacing w:line="360" w:lineRule="auto"/>
        <w:rPr>
          <w:rFonts w:asciiTheme="minorHAnsi" w:hAnsiTheme="minorHAnsi" w:cstheme="minorHAnsi"/>
          <w:b/>
          <w:bCs/>
        </w:rPr>
      </w:pPr>
      <w:r w:rsidRPr="00687F57">
        <w:rPr>
          <w:rFonts w:asciiTheme="minorHAnsi" w:hAnsiTheme="minorHAnsi" w:cstheme="minorHAnsi"/>
          <w:b/>
        </w:rPr>
        <w:t xml:space="preserve">Ορισμός κεντρικών αρμόδιων αρχών και ενιαίου φορέα για τα ΠΟΕΣΕ, για την </w:t>
      </w:r>
    </w:p>
    <w:p w:rsidR="0002236B" w:rsidRPr="00687F57" w:rsidRDefault="0002236B" w:rsidP="00DE7CE6">
      <w:pPr>
        <w:spacing w:line="360" w:lineRule="auto"/>
        <w:rPr>
          <w:rFonts w:asciiTheme="minorHAnsi" w:hAnsiTheme="minorHAnsi" w:cstheme="minorHAnsi"/>
          <w:b/>
        </w:rPr>
      </w:pPr>
      <w:r w:rsidRPr="00687F57">
        <w:rPr>
          <w:rFonts w:asciiTheme="minorHAnsi" w:hAnsiTheme="minorHAnsi" w:cstheme="minorHAnsi"/>
          <w:b/>
        </w:rPr>
        <w:t xml:space="preserve">εφαρμογή του κανονισμού (ΕΕ) 2017/625 </w:t>
      </w:r>
    </w:p>
    <w:p w:rsidR="0002236B" w:rsidRPr="00687F57" w:rsidRDefault="0002236B" w:rsidP="00687F57">
      <w:pPr>
        <w:spacing w:line="360" w:lineRule="auto"/>
        <w:jc w:val="both"/>
        <w:rPr>
          <w:rFonts w:asciiTheme="minorHAnsi" w:hAnsiTheme="minorHAnsi" w:cstheme="minorHAnsi"/>
          <w:b/>
          <w:color w:val="FF0000"/>
        </w:rPr>
      </w:pPr>
      <w:r w:rsidRPr="00687F57">
        <w:rPr>
          <w:rFonts w:asciiTheme="minorHAnsi" w:hAnsiTheme="minorHAnsi" w:cstheme="minorHAnsi"/>
        </w:rPr>
        <w:t>Με το π</w:t>
      </w:r>
      <w:r w:rsidR="00687F57">
        <w:rPr>
          <w:rFonts w:asciiTheme="minorHAnsi" w:hAnsiTheme="minorHAnsi" w:cstheme="minorHAnsi"/>
        </w:rPr>
        <w:t>ροτεινόμενο</w:t>
      </w:r>
      <w:r w:rsidRPr="00687F57">
        <w:rPr>
          <w:rFonts w:asciiTheme="minorHAnsi" w:hAnsiTheme="minorHAnsi" w:cstheme="minorHAnsi"/>
        </w:rPr>
        <w:t xml:space="preserve"> άρθρο καθορίζονται τα αναγκαία συμπληρωματικά μέτρα για την εφαρμογή των άρθρων 4 και 109 του κανονισμού (ΕΕ) 2017/625 του</w:t>
      </w:r>
      <w:r w:rsidRPr="00687F57">
        <w:rPr>
          <w:rFonts w:asciiTheme="minorHAnsi" w:hAnsiTheme="minorHAnsi" w:cstheme="minorHAnsi"/>
          <w:bCs/>
        </w:rPr>
        <w:t xml:space="preserve"> Ευρωπαϊκού Κοινοβουλίου και του Συμβουλίου της 15ης Μαρτίου 2017,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και τις ζωοτροφές και των κανόνων για την υγεία και την καλή μεταχείριση των ζώων, την υγεία των φυτών και τα φυτοπροστατευτικά προϊόντα, για την τροποποίηση των κανονισμών του Ευρωπαϊκού Κοινοβουλίου και του Συμβουλίου (ΕΚ) αριθ. 999/2001, (ΕΚ) αριθ. 396/2005, (ΕΚ) αριθ. 1069/2009, (ΕΚ) αριθ. 1107/2009, (ΕΕ) </w:t>
      </w:r>
      <w:r w:rsidRPr="00687F57">
        <w:rPr>
          <w:rFonts w:asciiTheme="minorHAnsi" w:hAnsiTheme="minorHAnsi" w:cstheme="minorHAnsi"/>
          <w:bCs/>
        </w:rPr>
        <w:lastRenderedPageBreak/>
        <w:t xml:space="preserve">αριθ. 1151/2012, (ΕΕ) αριθ. 652/2014, (ΕΕ) 2016/429 και (ΕΕ) 2016/2031, των κανονισμών του Συμβουλίου (ΕΚ) αριθ. 1/2005 και (ΕΚ) αριθ. 1099/2009 και των οδηγιών του Συμβουλίου 98/58/ΕΚ, 1999/74/ΕΚ, 2007/43/ΕΚ, 2008/119/ΕΚ και 2008/120/ΕΚ και για την κατάργηση των κανονισμών του Ευρωπαϊκού Κοινοβουλίου και του Συμβουλίου (ΕΚ) αριθ. 854/2004 και (ΕΚ) αριθ. 882/2004, των οδηγιών του Συμβουλίου 89/608/ΕΟΚ, 89/662/ΕΟΚ, 90/425/ΕΟΚ, 91/496/ΕΟΚ, 96/23/ΕΟΚ, 96/93/ΕΚ και 97/78/ΕΚ και της απόφασης  92/438/ΕΟΚ του Συμβουλίου (κανονισμός για τους επίσημους ελέγχους) </w:t>
      </w:r>
      <w:r w:rsidRPr="00687F57">
        <w:rPr>
          <w:rFonts w:asciiTheme="minorHAnsi" w:hAnsiTheme="minorHAnsi" w:cstheme="minorHAnsi"/>
        </w:rPr>
        <w:t>(ΕΕ L 095, 7.4.2017, σ. 1 και διορθωτικό ΕΕ L 137, 24.5.2017, σ. 40)</w:t>
      </w:r>
      <w:r w:rsidRPr="00687F57">
        <w:rPr>
          <w:rFonts w:asciiTheme="minorHAnsi" w:hAnsiTheme="minorHAnsi" w:cstheme="minorHAnsi"/>
          <w:bCs/>
        </w:rPr>
        <w:t xml:space="preserve">, </w:t>
      </w:r>
      <w:r w:rsidRPr="00687F57">
        <w:rPr>
          <w:rFonts w:asciiTheme="minorHAnsi" w:hAnsiTheme="minorHAnsi" w:cstheme="minorHAnsi"/>
        </w:rPr>
        <w:t xml:space="preserve">σχετικά </w:t>
      </w:r>
      <w:r w:rsidRPr="00687F57">
        <w:rPr>
          <w:rFonts w:asciiTheme="minorHAnsi" w:hAnsiTheme="minorHAnsi" w:cstheme="minorHAnsi"/>
          <w:bCs/>
        </w:rPr>
        <w:t>με τον ορισμό των κεντρικών αρμόδιων αρχών οργάνωσης των επισήμων ελέγχων και άλλων επίσημων δραστηριοτήτων του κανονισμού και του ενιαίου φορέα για τα ΠΟΕΣΕ. Οι κεντρικές αρμόδιες αρχές του τομέα των τροφίμων αποτελούν και τις αρχές οργάνωσης</w:t>
      </w:r>
      <w:r w:rsidR="00EE0ACF" w:rsidRPr="00687F57">
        <w:rPr>
          <w:rFonts w:asciiTheme="minorHAnsi" w:hAnsiTheme="minorHAnsi" w:cstheme="minorHAnsi"/>
          <w:bCs/>
        </w:rPr>
        <w:t>,</w:t>
      </w:r>
      <w:r w:rsidRPr="00687F57">
        <w:rPr>
          <w:rFonts w:asciiTheme="minorHAnsi" w:hAnsiTheme="minorHAnsi" w:cstheme="minorHAnsi"/>
          <w:bCs/>
        </w:rPr>
        <w:t xml:space="preserve"> εποπτείας και συντονισμού για την ασφάλεια των τροφίμων, σύμφωνα με το άρθρο 130 του ν. 4512/2018 (</w:t>
      </w:r>
      <w:r w:rsidRPr="00687F57">
        <w:rPr>
          <w:rFonts w:asciiTheme="minorHAnsi" w:hAnsiTheme="minorHAnsi" w:cstheme="minorHAnsi"/>
          <w:bCs/>
          <w:lang w:val="en-US"/>
        </w:rPr>
        <w:t>A</w:t>
      </w:r>
      <w:r w:rsidRPr="00687F57">
        <w:rPr>
          <w:rFonts w:asciiTheme="minorHAnsi" w:hAnsiTheme="minorHAnsi" w:cstheme="minorHAnsi"/>
          <w:bCs/>
        </w:rPr>
        <w:t>΄ 5).</w:t>
      </w:r>
      <w:r w:rsidRPr="00687F57">
        <w:rPr>
          <w:rFonts w:asciiTheme="minorHAnsi" w:hAnsiTheme="minorHAnsi" w:cstheme="minorHAnsi"/>
        </w:rPr>
        <w:t xml:space="preserve"> Η παρ. 7 του άρθρου αποτελεί εξουσιοδοτική διάταξη, ώστε να καθορίζονται τα λοιπά αναγκαία συμπληρωματικά, οργανωτικά και εκτελεστικά μέτρα για την εφαρμογή του κανονισμού (ΕΕ) 2017/625 και των διατάξεων των εκτελεστικών ή των κατ’ εξουσιοδότηση πράξεων που προβλέπονται σε αυτόν. Η πρόβλεψη της ανωτέρω εξουσιοδοτικής διάταξης είναι απαραίτητη γιατί αφενός ο οριζόντιος χαρακτήρας του κανονισμού και αφετέρου η αρμοδιότητα της Επιτροπής να εκδίδει πράξεις, όποτε απαιτείται, για τη συμπλήρωσή του κανονισμού και να καθορίζει λεπτομερείς κανόνες για την ενιαία και ομοιόμορφη εφαρμογή του από τα κράτη μέλη, δυσχεραίνουν τον επακριβή καθορισμό των αναγκαίων μέτρων και διατάξεων που οφείλει η χώρα να εκδώσει και να εφαρμόσει. </w:t>
      </w:r>
    </w:p>
    <w:p w:rsidR="009D7217" w:rsidRPr="00687F57" w:rsidRDefault="009D7217" w:rsidP="007C1BEA">
      <w:pPr>
        <w:spacing w:line="360" w:lineRule="auto"/>
        <w:outlineLvl w:val="0"/>
        <w:rPr>
          <w:rFonts w:asciiTheme="minorHAnsi" w:hAnsiTheme="minorHAnsi" w:cstheme="minorHAnsi"/>
          <w:b/>
          <w:bCs/>
        </w:rPr>
      </w:pPr>
    </w:p>
    <w:p w:rsidR="0002236B" w:rsidRPr="00687F57" w:rsidRDefault="0002236B" w:rsidP="007C1BEA">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2</w:t>
      </w:r>
      <w:r w:rsidR="005E0F67" w:rsidRPr="00687F57">
        <w:rPr>
          <w:rFonts w:asciiTheme="minorHAnsi" w:hAnsiTheme="minorHAnsi" w:cstheme="minorHAnsi"/>
          <w:b/>
          <w:bCs/>
        </w:rPr>
        <w:t>2</w:t>
      </w:r>
    </w:p>
    <w:p w:rsidR="009D7217" w:rsidRPr="00687F57" w:rsidRDefault="00D874AF" w:rsidP="00687F57">
      <w:pPr>
        <w:spacing w:line="360" w:lineRule="auto"/>
        <w:outlineLvl w:val="0"/>
        <w:rPr>
          <w:rFonts w:asciiTheme="minorHAnsi" w:hAnsiTheme="minorHAnsi" w:cstheme="minorHAnsi"/>
          <w:b/>
          <w:bCs/>
          <w:lang w:val="en-GB"/>
        </w:rPr>
      </w:pPr>
      <w:r w:rsidRPr="00687F57">
        <w:rPr>
          <w:rFonts w:asciiTheme="minorHAnsi" w:hAnsiTheme="minorHAnsi" w:cstheme="minorHAnsi"/>
          <w:b/>
          <w:bCs/>
        </w:rPr>
        <w:t>Συμβούλιο Στρατηγικού Σχεδιασμού - Εξουσιοδοτική διάταξη</w:t>
      </w:r>
    </w:p>
    <w:p w:rsidR="00D874AF" w:rsidRPr="00687F57" w:rsidRDefault="00D874AF" w:rsidP="00D874AF">
      <w:pPr>
        <w:spacing w:line="360" w:lineRule="auto"/>
        <w:jc w:val="both"/>
        <w:rPr>
          <w:rFonts w:asciiTheme="minorHAnsi" w:hAnsiTheme="minorHAnsi" w:cstheme="minorHAnsi"/>
        </w:rPr>
      </w:pPr>
      <w:r w:rsidRPr="00687F57">
        <w:rPr>
          <w:rFonts w:asciiTheme="minorHAnsi" w:hAnsiTheme="minorHAnsi" w:cstheme="minorHAnsi"/>
        </w:rPr>
        <w:t>Με την προτεινόμενη διάταξη της παρ. 1 συμπεριλαμβάνονται ως μέλη του Συμβουλίου Στρατηγικού Σχεδιασμού</w:t>
      </w:r>
      <w:r w:rsidR="00EE0ACF" w:rsidRPr="00687F57">
        <w:rPr>
          <w:rFonts w:asciiTheme="minorHAnsi" w:hAnsiTheme="minorHAnsi" w:cstheme="minorHAnsi"/>
        </w:rPr>
        <w:t xml:space="preserve"> του ΥΠΑΑΤ</w:t>
      </w:r>
      <w:r w:rsidRPr="00687F57">
        <w:rPr>
          <w:rFonts w:asciiTheme="minorHAnsi" w:hAnsiTheme="minorHAnsi" w:cstheme="minorHAnsi"/>
        </w:rPr>
        <w:t xml:space="preserve"> οι Πρόεδροι των εποπτευόμενων φορέων και οι Προϊστάμενοι των Ειδικών Υπηρεσιών</w:t>
      </w:r>
      <w:r w:rsidR="00EE0ACF" w:rsidRPr="00687F57">
        <w:rPr>
          <w:rFonts w:asciiTheme="minorHAnsi" w:hAnsiTheme="minorHAnsi" w:cstheme="minorHAnsi"/>
        </w:rPr>
        <w:t xml:space="preserve"> του Υπουργείου</w:t>
      </w:r>
      <w:r w:rsidRPr="00687F57">
        <w:rPr>
          <w:rFonts w:asciiTheme="minorHAnsi" w:hAnsiTheme="minorHAnsi" w:cstheme="minorHAnsi"/>
        </w:rPr>
        <w:t>. Με τη διεύρυνση αυτή ενισχύεται ο ρόλος του συμβουλίου ως του οργάνου διαβούλευσης επί θεμάτων διαμόρφωσης, παρακολούθησης και αξιολόγησης των δημόσιων πολιτικών του ΥΠΑΑΤ.</w:t>
      </w:r>
    </w:p>
    <w:p w:rsidR="0002236B" w:rsidRPr="00687F57" w:rsidRDefault="0002236B" w:rsidP="00B01A87">
      <w:pPr>
        <w:spacing w:line="360" w:lineRule="auto"/>
        <w:jc w:val="both"/>
        <w:rPr>
          <w:rFonts w:asciiTheme="minorHAnsi" w:hAnsiTheme="minorHAnsi" w:cstheme="minorHAnsi"/>
          <w:color w:val="000000"/>
        </w:rPr>
      </w:pPr>
      <w:r w:rsidRPr="00687F57">
        <w:rPr>
          <w:rFonts w:asciiTheme="minorHAnsi" w:hAnsiTheme="minorHAnsi" w:cstheme="minorHAnsi"/>
        </w:rPr>
        <w:lastRenderedPageBreak/>
        <w:t xml:space="preserve">Με την προτεινόμενη διάταξη </w:t>
      </w:r>
      <w:r w:rsidR="00D874AF" w:rsidRPr="00687F57">
        <w:rPr>
          <w:rFonts w:asciiTheme="minorHAnsi" w:hAnsiTheme="minorHAnsi" w:cstheme="minorHAnsi"/>
        </w:rPr>
        <w:t xml:space="preserve">της παρ. 2 </w:t>
      </w:r>
      <w:r w:rsidRPr="00687F57">
        <w:rPr>
          <w:rFonts w:asciiTheme="minorHAnsi" w:hAnsiTheme="minorHAnsi" w:cstheme="minorHAnsi"/>
        </w:rPr>
        <w:t xml:space="preserve">εξουσιοδοτείται ο Υπουργός Αγροτικής Ανάπτυξης και Τροφίμων να εκδίδει κοινές αποφάσεις με τους συναρμόδιους υπουργούς για τον σχεδιασμό και </w:t>
      </w:r>
      <w:r w:rsidR="00EE0ACF" w:rsidRPr="00687F57">
        <w:rPr>
          <w:rFonts w:asciiTheme="minorHAnsi" w:hAnsiTheme="minorHAnsi" w:cstheme="minorHAnsi"/>
        </w:rPr>
        <w:t xml:space="preserve">την </w:t>
      </w:r>
      <w:r w:rsidRPr="00687F57">
        <w:rPr>
          <w:rFonts w:asciiTheme="minorHAnsi" w:hAnsiTheme="minorHAnsi" w:cstheme="minorHAnsi"/>
        </w:rPr>
        <w:t xml:space="preserve">υλοποίηση προσωρινών μέτρων με σκοπό την αντιμετώπιση έκτακτων και απρόβλεπτων κινδύνων από κάθε είδους αίτια που μπορούν να επηρεάσουν ή να ανακόψουν τη λειτουργία και τη συνέχεια της αγροτικής, της κτηνοτροφικής και της αλιευτικής παραγωγής της χώρας. Τέτοιοι ενδεχόμενοι έκτακτοι και απρόβλεπτοι κίνδυνοι της δημόσιας υγείας, ενδεικτικά είναι οι ζωοανθρωπονόσοι, οι ζωονόσοι και τα λοιμώδη νοσήματα των ζώων που απειλούν άμεσα την εθνική οικονομία, όπως η αφρικανική πανώλη των χοίρων, οι επιπτώσεις από βιομηχανικά ή τεχνολογικά ατυχήματα, καθώς και κίνδυνοι που αφορούν την ασφάλεια των τροφίμων. Τα μέτρα αυτά λαμβάνονται σε πλήρη συμφωνία με τις υπάρχουσες εθνικές και ενωσιακές διατάξεις, αποτελούν </w:t>
      </w:r>
      <w:r w:rsidRPr="00687F57">
        <w:rPr>
          <w:rFonts w:asciiTheme="minorHAnsi" w:hAnsiTheme="minorHAnsi" w:cstheme="minorHAnsi"/>
          <w:color w:val="000000"/>
        </w:rPr>
        <w:t xml:space="preserve">μέτρα πρόληψης, επιτήρησης και ελέγχου σε τοπικό η εθνικό επίπεδο και προτείνονται με σκοπό να συμπληρώσουν τυχόν κενά της προϋπάρχουσας νομοθεσίας στον τομέα της αντιμετώπισης </w:t>
      </w:r>
      <w:r w:rsidRPr="00687F57">
        <w:rPr>
          <w:rFonts w:asciiTheme="minorHAnsi" w:hAnsiTheme="minorHAnsi" w:cstheme="minorHAnsi"/>
        </w:rPr>
        <w:t>έκτακτων και απρόβλεπτων κινδύνων για την αγροτική, κτηνοτροφική και αλιευτική παραγωγή της χώρας.</w:t>
      </w:r>
      <w:r w:rsidRPr="00687F57">
        <w:rPr>
          <w:rFonts w:asciiTheme="minorHAnsi" w:hAnsiTheme="minorHAnsi" w:cstheme="minorHAnsi"/>
          <w:color w:val="000000"/>
        </w:rPr>
        <w:t xml:space="preserve"> Στα μέτρα αυτά </w:t>
      </w:r>
      <w:r w:rsidR="00EE0ACF" w:rsidRPr="00687F57">
        <w:rPr>
          <w:rFonts w:asciiTheme="minorHAnsi" w:hAnsiTheme="minorHAnsi" w:cstheme="minorHAnsi"/>
          <w:color w:val="000000"/>
        </w:rPr>
        <w:t xml:space="preserve">περιλαμβάνονται </w:t>
      </w:r>
      <w:r w:rsidRPr="00687F57">
        <w:rPr>
          <w:rFonts w:asciiTheme="minorHAnsi" w:hAnsiTheme="minorHAnsi" w:cstheme="minorHAnsi"/>
          <w:color w:val="000000"/>
        </w:rPr>
        <w:t xml:space="preserve">ιδίως ο ορισμός αρμόδιων αρχών και ο καθορισμός αρμοδιοτήτων και διοικητικών διαδικασιών, η σύσταση και η συγκρότηση συλλογικών οργάνων, καθώς και η θέσπιση διοικητικών και ποινικών κυρώσεων. Επιπλέον, ορίζεται χρονικός περιορισμός διάρκειας μέχρι ενός έτους για τα μέτρα αυτά, καθώς στη συνέχεια θα εφαρμόζονται τα ήδη προβλεπόμενα μέτρα και σχέδια. </w:t>
      </w:r>
    </w:p>
    <w:p w:rsidR="0002236B" w:rsidRPr="00687F57" w:rsidRDefault="0002236B" w:rsidP="00B01A87">
      <w:pPr>
        <w:spacing w:line="360" w:lineRule="auto"/>
        <w:jc w:val="both"/>
        <w:rPr>
          <w:rFonts w:asciiTheme="minorHAnsi" w:hAnsiTheme="minorHAnsi" w:cstheme="minorHAnsi"/>
          <w:color w:val="000000"/>
        </w:rPr>
      </w:pPr>
    </w:p>
    <w:p w:rsidR="0002236B" w:rsidRPr="00687F57" w:rsidRDefault="0002236B" w:rsidP="00CC5E88">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2</w:t>
      </w:r>
      <w:r w:rsidR="005E0F67" w:rsidRPr="00687F57">
        <w:rPr>
          <w:rFonts w:asciiTheme="minorHAnsi" w:hAnsiTheme="minorHAnsi" w:cstheme="minorHAnsi"/>
          <w:b/>
          <w:bCs/>
        </w:rPr>
        <w:t>3</w:t>
      </w:r>
    </w:p>
    <w:p w:rsidR="0002236B" w:rsidRPr="00687F57" w:rsidRDefault="0002236B" w:rsidP="00687F57">
      <w:pPr>
        <w:spacing w:line="360" w:lineRule="auto"/>
        <w:jc w:val="both"/>
        <w:rPr>
          <w:rFonts w:asciiTheme="minorHAnsi" w:hAnsiTheme="minorHAnsi" w:cstheme="minorHAnsi"/>
          <w:b/>
          <w:bCs/>
          <w:color w:val="000000"/>
          <w:lang w:val="en-GB"/>
        </w:rPr>
      </w:pPr>
      <w:r w:rsidRPr="00687F57">
        <w:rPr>
          <w:rFonts w:asciiTheme="minorHAnsi" w:hAnsiTheme="minorHAnsi" w:cstheme="minorHAnsi"/>
          <w:b/>
          <w:bCs/>
          <w:color w:val="000000"/>
        </w:rPr>
        <w:t>Αγροτικά αδικήματα φθοράς</w:t>
      </w:r>
    </w:p>
    <w:p w:rsidR="005E0F67" w:rsidRPr="00687F57" w:rsidRDefault="0002236B" w:rsidP="005E0F67">
      <w:pPr>
        <w:spacing w:line="360" w:lineRule="auto"/>
        <w:jc w:val="both"/>
        <w:rPr>
          <w:rFonts w:asciiTheme="minorHAnsi" w:hAnsiTheme="minorHAnsi" w:cstheme="minorHAnsi"/>
          <w:bCs/>
          <w:color w:val="000000"/>
        </w:rPr>
      </w:pPr>
      <w:r w:rsidRPr="00687F57">
        <w:rPr>
          <w:rFonts w:asciiTheme="minorHAnsi" w:hAnsiTheme="minorHAnsi" w:cstheme="minorHAnsi"/>
          <w:bCs/>
          <w:color w:val="000000"/>
        </w:rPr>
        <w:t xml:space="preserve">Με την παρ. 1 του άρθρου 468 του </w:t>
      </w:r>
      <w:r w:rsidR="00EE0ACF" w:rsidRPr="00687F57">
        <w:rPr>
          <w:rFonts w:asciiTheme="minorHAnsi" w:hAnsiTheme="minorHAnsi" w:cstheme="minorHAnsi"/>
          <w:bCs/>
          <w:color w:val="000000"/>
        </w:rPr>
        <w:t>ν</w:t>
      </w:r>
      <w:r w:rsidRPr="00687F57">
        <w:rPr>
          <w:rFonts w:asciiTheme="minorHAnsi" w:hAnsiTheme="minorHAnsi" w:cstheme="minorHAnsi"/>
          <w:bCs/>
          <w:color w:val="000000"/>
        </w:rPr>
        <w:t>έου Ποινικού Κώδικα (ν. 4619/2019, Α΄95) καταργήθηκαν τα πταίσματα, με αποτέλεσμα να καταργηθούν και τα ποινικά αδικήματα των άρθρων 38 και 39 του ν. 3585/2007 περί φθοράς αγροτικού κτήματος και φθοράς με ζώα, τα οποία τιμωρούνταν σε βαθμό πταίσματος. Κατόπιν των ανωτέρω, κρίνεται επιβεβλημένη η διατήρηση των εν λόγω ειδικών αδικημάτων ως ελαφρών πλημμελημάτων, για την άμεση και αποτελεσματική προστασία του εννόμου αγαθού τη</w:t>
      </w:r>
      <w:r w:rsidR="0049121E">
        <w:rPr>
          <w:rFonts w:asciiTheme="minorHAnsi" w:hAnsiTheme="minorHAnsi" w:cstheme="minorHAnsi"/>
          <w:bCs/>
          <w:color w:val="000000"/>
        </w:rPr>
        <w:t>ς περιουσίας των αγροτών, καθώς</w:t>
      </w:r>
      <w:r w:rsidRPr="00687F57">
        <w:rPr>
          <w:rFonts w:asciiTheme="minorHAnsi" w:hAnsiTheme="minorHAnsi" w:cstheme="minorHAnsi"/>
          <w:bCs/>
          <w:color w:val="000000"/>
        </w:rPr>
        <w:t xml:space="preserve"> η κατάργηση των εν λόγω αδικημάτων </w:t>
      </w:r>
      <w:r w:rsidR="0049121E">
        <w:rPr>
          <w:rFonts w:ascii="Calibri" w:hAnsi="Calibri" w:cs="Calibri"/>
          <w:bCs/>
          <w:color w:val="000000"/>
        </w:rPr>
        <w:t xml:space="preserve">και η μη ποινική τιμωρία τους </w:t>
      </w:r>
      <w:r w:rsidR="0049121E" w:rsidRPr="00DB74BF">
        <w:rPr>
          <w:rFonts w:ascii="Calibri" w:hAnsi="Calibri" w:cs="Calibri"/>
          <w:bCs/>
          <w:color w:val="000000"/>
        </w:rPr>
        <w:t xml:space="preserve">είναι </w:t>
      </w:r>
      <w:r w:rsidR="0049121E">
        <w:rPr>
          <w:rFonts w:ascii="Calibri" w:hAnsi="Calibri" w:cs="Calibri"/>
          <w:bCs/>
          <w:color w:val="000000"/>
        </w:rPr>
        <w:t xml:space="preserve">ιδιαίτερα </w:t>
      </w:r>
      <w:r w:rsidRPr="00687F57">
        <w:rPr>
          <w:rFonts w:asciiTheme="minorHAnsi" w:hAnsiTheme="minorHAnsi" w:cstheme="minorHAnsi"/>
          <w:bCs/>
          <w:color w:val="000000"/>
        </w:rPr>
        <w:t xml:space="preserve">πιθανό να </w:t>
      </w:r>
      <w:r w:rsidRPr="00687F57">
        <w:rPr>
          <w:rFonts w:asciiTheme="minorHAnsi" w:hAnsiTheme="minorHAnsi" w:cstheme="minorHAnsi"/>
          <w:bCs/>
          <w:color w:val="000000"/>
        </w:rPr>
        <w:lastRenderedPageBreak/>
        <w:t>προκαλέσει προστριβές και έριδες στις τοπικές κοινωνίες, ενώ παράλληλα διασφαλίζεται η πρόβλεψη ηπιότερων πλημμεληματικών ποινών για τα εν λόγω ήσσονος σημασίας αδικήματα για μικρής αξίας φθορές.</w:t>
      </w:r>
    </w:p>
    <w:p w:rsidR="009D7217" w:rsidRPr="00687F57" w:rsidRDefault="009D7217" w:rsidP="005E0F67">
      <w:pPr>
        <w:spacing w:line="360" w:lineRule="auto"/>
        <w:jc w:val="both"/>
        <w:rPr>
          <w:rFonts w:asciiTheme="minorHAnsi" w:hAnsiTheme="minorHAnsi" w:cstheme="minorHAnsi"/>
          <w:bCs/>
          <w:color w:val="000000"/>
          <w:lang w:val="en-GB"/>
        </w:rPr>
      </w:pPr>
    </w:p>
    <w:p w:rsidR="0002236B" w:rsidRPr="00687F57" w:rsidRDefault="0002236B" w:rsidP="00CC5E88">
      <w:pPr>
        <w:spacing w:line="360" w:lineRule="auto"/>
        <w:outlineLvl w:val="0"/>
        <w:rPr>
          <w:rFonts w:asciiTheme="minorHAnsi" w:hAnsiTheme="minorHAnsi" w:cstheme="minorHAnsi"/>
          <w:b/>
          <w:bCs/>
        </w:rPr>
      </w:pPr>
      <w:r w:rsidRPr="00687F57">
        <w:rPr>
          <w:rFonts w:asciiTheme="minorHAnsi" w:hAnsiTheme="minorHAnsi" w:cstheme="minorHAnsi"/>
          <w:b/>
          <w:bCs/>
        </w:rPr>
        <w:t>Επί του άρθρου 2</w:t>
      </w:r>
      <w:r w:rsidR="005E0F67" w:rsidRPr="00687F57">
        <w:rPr>
          <w:rFonts w:asciiTheme="minorHAnsi" w:hAnsiTheme="minorHAnsi" w:cstheme="minorHAnsi"/>
          <w:b/>
          <w:bCs/>
        </w:rPr>
        <w:t>4</w:t>
      </w:r>
    </w:p>
    <w:p w:rsidR="0002236B" w:rsidRPr="00687F57" w:rsidRDefault="0002236B" w:rsidP="00687F57">
      <w:pPr>
        <w:spacing w:line="360" w:lineRule="auto"/>
        <w:rPr>
          <w:rFonts w:asciiTheme="minorHAnsi" w:hAnsiTheme="minorHAnsi" w:cstheme="minorHAnsi"/>
          <w:b/>
          <w:lang w:val="en-GB"/>
        </w:rPr>
      </w:pPr>
      <w:r w:rsidRPr="00687F57">
        <w:rPr>
          <w:rFonts w:asciiTheme="minorHAnsi" w:hAnsiTheme="minorHAnsi" w:cstheme="minorHAnsi"/>
          <w:b/>
        </w:rPr>
        <w:t>Έναρξη ισχύος</w:t>
      </w:r>
      <w:bookmarkStart w:id="0" w:name="_GoBack"/>
      <w:bookmarkEnd w:id="0"/>
    </w:p>
    <w:p w:rsidR="0002236B" w:rsidRPr="00687F57" w:rsidRDefault="0002236B" w:rsidP="005E0F67">
      <w:pPr>
        <w:spacing w:line="360" w:lineRule="auto"/>
        <w:outlineLvl w:val="0"/>
        <w:rPr>
          <w:rFonts w:asciiTheme="minorHAnsi" w:hAnsiTheme="minorHAnsi" w:cstheme="minorHAnsi"/>
          <w:bCs/>
        </w:rPr>
      </w:pPr>
      <w:r w:rsidRPr="00687F57">
        <w:rPr>
          <w:rFonts w:asciiTheme="minorHAnsi" w:hAnsiTheme="minorHAnsi" w:cstheme="minorHAnsi"/>
          <w:bCs/>
        </w:rPr>
        <w:t>Με το προτεινόμενο άρθρο προβλέπεται η έναρξη ισχύος από την δημοσίευση του νόμου στην Εφημερίδα της Κυβερνήσεως, εκτός εάν ορίζεται άλλως σε επιμέρους διατάξεις του.</w:t>
      </w:r>
    </w:p>
    <w:p w:rsidR="0002236B" w:rsidRPr="00687F57" w:rsidRDefault="0002236B" w:rsidP="00A021DD">
      <w:pPr>
        <w:shd w:val="clear" w:color="auto" w:fill="FFFFFF"/>
        <w:spacing w:line="360" w:lineRule="auto"/>
        <w:jc w:val="both"/>
        <w:rPr>
          <w:rFonts w:asciiTheme="minorHAnsi" w:hAnsiTheme="minorHAnsi" w:cstheme="minorHAnsi"/>
          <w:color w:val="000000"/>
        </w:rPr>
      </w:pPr>
    </w:p>
    <w:p w:rsidR="0002236B" w:rsidRPr="00687F57" w:rsidRDefault="0002236B" w:rsidP="00534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360" w:lineRule="auto"/>
        <w:ind w:hanging="450"/>
        <w:jc w:val="center"/>
        <w:rPr>
          <w:rFonts w:asciiTheme="minorHAnsi" w:hAnsiTheme="minorHAnsi" w:cstheme="minorHAnsi"/>
          <w:spacing w:val="10"/>
        </w:rPr>
      </w:pPr>
      <w:r w:rsidRPr="00687F57">
        <w:rPr>
          <w:rFonts w:asciiTheme="minorHAnsi" w:hAnsiTheme="minorHAnsi" w:cstheme="minorHAnsi"/>
          <w:spacing w:val="10"/>
        </w:rPr>
        <w:t>Αθήνα,             2020</w:t>
      </w:r>
    </w:p>
    <w:p w:rsidR="0002236B" w:rsidRPr="00687F57" w:rsidRDefault="0002236B" w:rsidP="003D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hanging="450"/>
        <w:jc w:val="center"/>
        <w:rPr>
          <w:rFonts w:asciiTheme="minorHAnsi" w:hAnsiTheme="minorHAnsi" w:cstheme="minorHAnsi"/>
          <w:b/>
          <w:bCs/>
        </w:rPr>
      </w:pPr>
      <w:r w:rsidRPr="00687F57">
        <w:rPr>
          <w:rFonts w:asciiTheme="minorHAnsi" w:hAnsiTheme="minorHAnsi" w:cstheme="minorHAnsi"/>
          <w:b/>
          <w:spacing w:val="10"/>
        </w:rPr>
        <w:t>ΟΙ ΥΠΟΥΡΓΟΙ</w:t>
      </w:r>
    </w:p>
    <w:p w:rsidR="0002236B" w:rsidRPr="00687F57" w:rsidRDefault="0002236B" w:rsidP="00994E3C">
      <w:pPr>
        <w:autoSpaceDE w:val="0"/>
        <w:autoSpaceDN w:val="0"/>
        <w:adjustRightInd w:val="0"/>
        <w:spacing w:after="200" w:line="360" w:lineRule="auto"/>
        <w:jc w:val="center"/>
        <w:rPr>
          <w:rFonts w:asciiTheme="minorHAnsi" w:hAnsiTheme="minorHAnsi" w:cstheme="minorHAnsi"/>
          <w:b/>
          <w:bCs/>
        </w:rPr>
      </w:pPr>
    </w:p>
    <w:p w:rsidR="0002236B" w:rsidRPr="00687F57" w:rsidRDefault="0002236B" w:rsidP="00994E3C">
      <w:pPr>
        <w:autoSpaceDE w:val="0"/>
        <w:autoSpaceDN w:val="0"/>
        <w:adjustRightInd w:val="0"/>
        <w:spacing w:before="120" w:after="120" w:line="360" w:lineRule="auto"/>
        <w:ind w:right="-154"/>
        <w:jc w:val="both"/>
        <w:rPr>
          <w:rFonts w:asciiTheme="minorHAnsi" w:hAnsiTheme="minorHAnsi" w:cstheme="minorHAnsi"/>
          <w:color w:val="000000"/>
        </w:rPr>
      </w:pPr>
    </w:p>
    <w:p w:rsidR="0002236B" w:rsidRPr="00687F57" w:rsidRDefault="0002236B" w:rsidP="004870C1">
      <w:pPr>
        <w:autoSpaceDE w:val="0"/>
        <w:autoSpaceDN w:val="0"/>
        <w:adjustRightInd w:val="0"/>
        <w:spacing w:before="120" w:after="120" w:line="360" w:lineRule="auto"/>
        <w:ind w:right="-154"/>
        <w:jc w:val="both"/>
        <w:rPr>
          <w:rFonts w:asciiTheme="minorHAnsi" w:hAnsiTheme="minorHAnsi" w:cstheme="minorHAnsi"/>
          <w:color w:val="000000"/>
        </w:rPr>
      </w:pPr>
    </w:p>
    <w:p w:rsidR="0002236B" w:rsidRPr="00687F57" w:rsidRDefault="0002236B" w:rsidP="00365DE3">
      <w:pPr>
        <w:autoSpaceDE w:val="0"/>
        <w:autoSpaceDN w:val="0"/>
        <w:adjustRightInd w:val="0"/>
        <w:spacing w:after="200" w:line="360" w:lineRule="auto"/>
        <w:rPr>
          <w:rFonts w:asciiTheme="minorHAnsi" w:hAnsiTheme="minorHAnsi" w:cstheme="minorHAnsi"/>
          <w:color w:val="000000"/>
        </w:rPr>
      </w:pPr>
    </w:p>
    <w:p w:rsidR="0002236B" w:rsidRPr="00687F57" w:rsidRDefault="0002236B" w:rsidP="001E0C0F">
      <w:pPr>
        <w:spacing w:line="360" w:lineRule="auto"/>
        <w:jc w:val="both"/>
        <w:rPr>
          <w:rFonts w:asciiTheme="minorHAnsi" w:hAnsiTheme="minorHAnsi" w:cstheme="minorHAnsi"/>
        </w:rPr>
      </w:pPr>
    </w:p>
    <w:p w:rsidR="0002236B" w:rsidRPr="00687F57" w:rsidRDefault="0002236B" w:rsidP="001E0C0F">
      <w:pPr>
        <w:spacing w:line="360" w:lineRule="auto"/>
        <w:jc w:val="both"/>
        <w:rPr>
          <w:rFonts w:asciiTheme="minorHAnsi" w:hAnsiTheme="minorHAnsi" w:cstheme="minorHAnsi"/>
          <w:b/>
        </w:rPr>
      </w:pPr>
    </w:p>
    <w:sectPr w:rsidR="0002236B" w:rsidRPr="00687F57" w:rsidSect="007F13E4">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50" w:rsidRDefault="00200D50" w:rsidP="00E52F15">
      <w:r>
        <w:separator/>
      </w:r>
    </w:p>
  </w:endnote>
  <w:endnote w:type="continuationSeparator" w:id="0">
    <w:p w:rsidR="00200D50" w:rsidRDefault="00200D50" w:rsidP="00E52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CA" w:rsidRDefault="00BB10CA">
    <w:pPr>
      <w:pStyle w:val="Footer"/>
      <w:jc w:val="right"/>
    </w:pPr>
    <w:fldSimple w:instr=" PAGE   \* MERGEFORMAT ">
      <w:r w:rsidR="002A29AB">
        <w:rPr>
          <w:noProof/>
        </w:rPr>
        <w:t>15</w:t>
      </w:r>
    </w:fldSimple>
  </w:p>
  <w:p w:rsidR="00BB10CA" w:rsidRDefault="00BB1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50" w:rsidRDefault="00200D50" w:rsidP="00E52F15">
      <w:r>
        <w:separator/>
      </w:r>
    </w:p>
  </w:footnote>
  <w:footnote w:type="continuationSeparator" w:id="0">
    <w:p w:rsidR="00200D50" w:rsidRDefault="00200D50" w:rsidP="00E52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EB6"/>
    <w:multiLevelType w:val="hybridMultilevel"/>
    <w:tmpl w:val="88AA51A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C085704"/>
    <w:multiLevelType w:val="hybridMultilevel"/>
    <w:tmpl w:val="729EA2A4"/>
    <w:lvl w:ilvl="0" w:tplc="0CAA309E">
      <w:start w:val="1"/>
      <w:numFmt w:val="decimal"/>
      <w:lvlText w:val="%1."/>
      <w:lvlJc w:val="left"/>
      <w:pPr>
        <w:ind w:left="502" w:hanging="360"/>
      </w:pPr>
      <w:rPr>
        <w:rFonts w:cs="Times New Roman" w:hint="default"/>
        <w:b/>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2">
    <w:nsid w:val="70827A0D"/>
    <w:multiLevelType w:val="hybridMultilevel"/>
    <w:tmpl w:val="B768C02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Κουτνατζής Στυλιανός- Ιωάννης">
    <w15:presenceInfo w15:providerId="AD" w15:userId="S-1-5-21-448539723-1004336348-682003330-84356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3D2D62"/>
    <w:rsid w:val="00005458"/>
    <w:rsid w:val="0000662D"/>
    <w:rsid w:val="00013774"/>
    <w:rsid w:val="00013911"/>
    <w:rsid w:val="0001736D"/>
    <w:rsid w:val="0002236B"/>
    <w:rsid w:val="000235B3"/>
    <w:rsid w:val="00023FC4"/>
    <w:rsid w:val="0002715A"/>
    <w:rsid w:val="00031F4C"/>
    <w:rsid w:val="00042F7D"/>
    <w:rsid w:val="000451B7"/>
    <w:rsid w:val="00054F5D"/>
    <w:rsid w:val="00057F24"/>
    <w:rsid w:val="00060EFD"/>
    <w:rsid w:val="0006615E"/>
    <w:rsid w:val="000701EB"/>
    <w:rsid w:val="00074BA1"/>
    <w:rsid w:val="00081F0D"/>
    <w:rsid w:val="00085297"/>
    <w:rsid w:val="00094E70"/>
    <w:rsid w:val="00097383"/>
    <w:rsid w:val="000A2C4C"/>
    <w:rsid w:val="000B0E35"/>
    <w:rsid w:val="000B0F2E"/>
    <w:rsid w:val="000B1872"/>
    <w:rsid w:val="000B3239"/>
    <w:rsid w:val="000B64EF"/>
    <w:rsid w:val="000B7CF6"/>
    <w:rsid w:val="000C001F"/>
    <w:rsid w:val="000C1D36"/>
    <w:rsid w:val="000C3E42"/>
    <w:rsid w:val="000C41B4"/>
    <w:rsid w:val="000C4BF0"/>
    <w:rsid w:val="000C5E5D"/>
    <w:rsid w:val="000E0A45"/>
    <w:rsid w:val="000E106B"/>
    <w:rsid w:val="000E111F"/>
    <w:rsid w:val="000E4D2D"/>
    <w:rsid w:val="000E6494"/>
    <w:rsid w:val="00105720"/>
    <w:rsid w:val="00114295"/>
    <w:rsid w:val="00116725"/>
    <w:rsid w:val="00120A94"/>
    <w:rsid w:val="00126160"/>
    <w:rsid w:val="00126233"/>
    <w:rsid w:val="00131B7B"/>
    <w:rsid w:val="0014417A"/>
    <w:rsid w:val="00146A56"/>
    <w:rsid w:val="00146B50"/>
    <w:rsid w:val="00146C91"/>
    <w:rsid w:val="0015069C"/>
    <w:rsid w:val="00152F4A"/>
    <w:rsid w:val="00157616"/>
    <w:rsid w:val="00161CBE"/>
    <w:rsid w:val="00162929"/>
    <w:rsid w:val="00174C5C"/>
    <w:rsid w:val="0018396E"/>
    <w:rsid w:val="001A077C"/>
    <w:rsid w:val="001A0A64"/>
    <w:rsid w:val="001A2482"/>
    <w:rsid w:val="001B152F"/>
    <w:rsid w:val="001B308E"/>
    <w:rsid w:val="001B5A04"/>
    <w:rsid w:val="001C2BE5"/>
    <w:rsid w:val="001C3114"/>
    <w:rsid w:val="001C58A4"/>
    <w:rsid w:val="001C770A"/>
    <w:rsid w:val="001D5E60"/>
    <w:rsid w:val="001E0C0F"/>
    <w:rsid w:val="001E72E3"/>
    <w:rsid w:val="001F096B"/>
    <w:rsid w:val="001F0A52"/>
    <w:rsid w:val="001F3C1F"/>
    <w:rsid w:val="001F44C2"/>
    <w:rsid w:val="001F5738"/>
    <w:rsid w:val="00200D50"/>
    <w:rsid w:val="002035B2"/>
    <w:rsid w:val="002101C6"/>
    <w:rsid w:val="00211609"/>
    <w:rsid w:val="002150CD"/>
    <w:rsid w:val="0021588E"/>
    <w:rsid w:val="002316D9"/>
    <w:rsid w:val="00247856"/>
    <w:rsid w:val="00253DA8"/>
    <w:rsid w:val="00255945"/>
    <w:rsid w:val="0026060E"/>
    <w:rsid w:val="00263D1C"/>
    <w:rsid w:val="00265990"/>
    <w:rsid w:val="002668D6"/>
    <w:rsid w:val="00270AA5"/>
    <w:rsid w:val="00277544"/>
    <w:rsid w:val="0028182E"/>
    <w:rsid w:val="00285C0F"/>
    <w:rsid w:val="002935EE"/>
    <w:rsid w:val="002A1FFA"/>
    <w:rsid w:val="002A29AB"/>
    <w:rsid w:val="002A5048"/>
    <w:rsid w:val="002B7C35"/>
    <w:rsid w:val="002C1A40"/>
    <w:rsid w:val="002C7ED4"/>
    <w:rsid w:val="002D176B"/>
    <w:rsid w:val="002D3548"/>
    <w:rsid w:val="002D423B"/>
    <w:rsid w:val="002E11B7"/>
    <w:rsid w:val="002E5305"/>
    <w:rsid w:val="002F2F69"/>
    <w:rsid w:val="00302F2B"/>
    <w:rsid w:val="00303EBC"/>
    <w:rsid w:val="003040D4"/>
    <w:rsid w:val="0031007E"/>
    <w:rsid w:val="003100CC"/>
    <w:rsid w:val="0032444F"/>
    <w:rsid w:val="003334ED"/>
    <w:rsid w:val="00337B4A"/>
    <w:rsid w:val="0034306E"/>
    <w:rsid w:val="003442D3"/>
    <w:rsid w:val="00351330"/>
    <w:rsid w:val="00356FD2"/>
    <w:rsid w:val="00365DE3"/>
    <w:rsid w:val="003721DB"/>
    <w:rsid w:val="003811E8"/>
    <w:rsid w:val="00387DDD"/>
    <w:rsid w:val="003917A8"/>
    <w:rsid w:val="0039569E"/>
    <w:rsid w:val="003A0349"/>
    <w:rsid w:val="003B2BA1"/>
    <w:rsid w:val="003B3EF0"/>
    <w:rsid w:val="003B7FDD"/>
    <w:rsid w:val="003C4141"/>
    <w:rsid w:val="003C6F46"/>
    <w:rsid w:val="003D0CB8"/>
    <w:rsid w:val="003D1F4F"/>
    <w:rsid w:val="003D2D62"/>
    <w:rsid w:val="003D40CA"/>
    <w:rsid w:val="003E16A2"/>
    <w:rsid w:val="00431BB2"/>
    <w:rsid w:val="00433DAC"/>
    <w:rsid w:val="0044234E"/>
    <w:rsid w:val="00465A1E"/>
    <w:rsid w:val="00467BA2"/>
    <w:rsid w:val="004840FB"/>
    <w:rsid w:val="004870C1"/>
    <w:rsid w:val="0049121E"/>
    <w:rsid w:val="00491E34"/>
    <w:rsid w:val="00491E8A"/>
    <w:rsid w:val="00493D73"/>
    <w:rsid w:val="0049503D"/>
    <w:rsid w:val="004959D0"/>
    <w:rsid w:val="004A12BB"/>
    <w:rsid w:val="004A5851"/>
    <w:rsid w:val="004A6DD9"/>
    <w:rsid w:val="004B0C58"/>
    <w:rsid w:val="004B239B"/>
    <w:rsid w:val="004B4307"/>
    <w:rsid w:val="004C34E2"/>
    <w:rsid w:val="004D2E95"/>
    <w:rsid w:val="004F41A6"/>
    <w:rsid w:val="004F6583"/>
    <w:rsid w:val="00500692"/>
    <w:rsid w:val="005067C4"/>
    <w:rsid w:val="00516380"/>
    <w:rsid w:val="005233A1"/>
    <w:rsid w:val="00524C4C"/>
    <w:rsid w:val="00534357"/>
    <w:rsid w:val="00537371"/>
    <w:rsid w:val="00546AE0"/>
    <w:rsid w:val="005511B0"/>
    <w:rsid w:val="00565838"/>
    <w:rsid w:val="005762BE"/>
    <w:rsid w:val="00592506"/>
    <w:rsid w:val="005A007E"/>
    <w:rsid w:val="005A44E5"/>
    <w:rsid w:val="005A6021"/>
    <w:rsid w:val="005B06D8"/>
    <w:rsid w:val="005C5295"/>
    <w:rsid w:val="005D4113"/>
    <w:rsid w:val="005D714C"/>
    <w:rsid w:val="005E0F67"/>
    <w:rsid w:val="005E498C"/>
    <w:rsid w:val="005F2FAF"/>
    <w:rsid w:val="00611DAC"/>
    <w:rsid w:val="00615468"/>
    <w:rsid w:val="0062075E"/>
    <w:rsid w:val="00622A6C"/>
    <w:rsid w:val="006342B9"/>
    <w:rsid w:val="006376B8"/>
    <w:rsid w:val="00637C7B"/>
    <w:rsid w:val="00644654"/>
    <w:rsid w:val="0064731C"/>
    <w:rsid w:val="00650379"/>
    <w:rsid w:val="00655D1D"/>
    <w:rsid w:val="006613F6"/>
    <w:rsid w:val="006616CC"/>
    <w:rsid w:val="00670DF7"/>
    <w:rsid w:val="00675939"/>
    <w:rsid w:val="00685C5E"/>
    <w:rsid w:val="00687F57"/>
    <w:rsid w:val="00690BAE"/>
    <w:rsid w:val="00695C4F"/>
    <w:rsid w:val="006A2BA7"/>
    <w:rsid w:val="006B0582"/>
    <w:rsid w:val="006B1CFA"/>
    <w:rsid w:val="006B1D5B"/>
    <w:rsid w:val="006C0983"/>
    <w:rsid w:val="006C6A24"/>
    <w:rsid w:val="006E1B4F"/>
    <w:rsid w:val="006E3EFE"/>
    <w:rsid w:val="006E5067"/>
    <w:rsid w:val="006F425D"/>
    <w:rsid w:val="006F7A05"/>
    <w:rsid w:val="00720965"/>
    <w:rsid w:val="00735387"/>
    <w:rsid w:val="007354BC"/>
    <w:rsid w:val="00753A95"/>
    <w:rsid w:val="007610F6"/>
    <w:rsid w:val="00762800"/>
    <w:rsid w:val="00771A1E"/>
    <w:rsid w:val="00787084"/>
    <w:rsid w:val="00791BE8"/>
    <w:rsid w:val="00792336"/>
    <w:rsid w:val="00793269"/>
    <w:rsid w:val="007934A1"/>
    <w:rsid w:val="00794589"/>
    <w:rsid w:val="0079606A"/>
    <w:rsid w:val="007966C4"/>
    <w:rsid w:val="007A124A"/>
    <w:rsid w:val="007A46D0"/>
    <w:rsid w:val="007A52FA"/>
    <w:rsid w:val="007A5F87"/>
    <w:rsid w:val="007B7F97"/>
    <w:rsid w:val="007C140F"/>
    <w:rsid w:val="007C1BEA"/>
    <w:rsid w:val="007C2EA5"/>
    <w:rsid w:val="007D0C90"/>
    <w:rsid w:val="007D254D"/>
    <w:rsid w:val="007D2863"/>
    <w:rsid w:val="007D29BD"/>
    <w:rsid w:val="007D3691"/>
    <w:rsid w:val="007E3832"/>
    <w:rsid w:val="007E398A"/>
    <w:rsid w:val="007E50D2"/>
    <w:rsid w:val="007F13E4"/>
    <w:rsid w:val="007F3471"/>
    <w:rsid w:val="00825F63"/>
    <w:rsid w:val="00832FAA"/>
    <w:rsid w:val="00833A39"/>
    <w:rsid w:val="00836BC5"/>
    <w:rsid w:val="00842CF0"/>
    <w:rsid w:val="0085293A"/>
    <w:rsid w:val="00853EAC"/>
    <w:rsid w:val="0087546A"/>
    <w:rsid w:val="00891865"/>
    <w:rsid w:val="008943F7"/>
    <w:rsid w:val="008A42E7"/>
    <w:rsid w:val="008C30C0"/>
    <w:rsid w:val="008C78EC"/>
    <w:rsid w:val="008D2539"/>
    <w:rsid w:val="008D7ACE"/>
    <w:rsid w:val="008E01CA"/>
    <w:rsid w:val="008E2D74"/>
    <w:rsid w:val="008E3420"/>
    <w:rsid w:val="008E71C5"/>
    <w:rsid w:val="008F0B38"/>
    <w:rsid w:val="00902B56"/>
    <w:rsid w:val="00905311"/>
    <w:rsid w:val="00910447"/>
    <w:rsid w:val="00910607"/>
    <w:rsid w:val="0091289A"/>
    <w:rsid w:val="0093183C"/>
    <w:rsid w:val="0093513E"/>
    <w:rsid w:val="00937586"/>
    <w:rsid w:val="009414FD"/>
    <w:rsid w:val="00954363"/>
    <w:rsid w:val="009568FE"/>
    <w:rsid w:val="00963E8B"/>
    <w:rsid w:val="00972765"/>
    <w:rsid w:val="009727C5"/>
    <w:rsid w:val="009777A1"/>
    <w:rsid w:val="00982E73"/>
    <w:rsid w:val="00994E3C"/>
    <w:rsid w:val="009B31F0"/>
    <w:rsid w:val="009B3860"/>
    <w:rsid w:val="009B4F06"/>
    <w:rsid w:val="009D7217"/>
    <w:rsid w:val="009D796F"/>
    <w:rsid w:val="009E3075"/>
    <w:rsid w:val="009E6EE5"/>
    <w:rsid w:val="009E7363"/>
    <w:rsid w:val="00A021DD"/>
    <w:rsid w:val="00A10BBA"/>
    <w:rsid w:val="00A11331"/>
    <w:rsid w:val="00A17D17"/>
    <w:rsid w:val="00A23463"/>
    <w:rsid w:val="00A24DFD"/>
    <w:rsid w:val="00A325A2"/>
    <w:rsid w:val="00A335BB"/>
    <w:rsid w:val="00A43CC0"/>
    <w:rsid w:val="00A5289E"/>
    <w:rsid w:val="00A56651"/>
    <w:rsid w:val="00A56A40"/>
    <w:rsid w:val="00A66020"/>
    <w:rsid w:val="00A66B8B"/>
    <w:rsid w:val="00A714A6"/>
    <w:rsid w:val="00A73AAF"/>
    <w:rsid w:val="00AA64DB"/>
    <w:rsid w:val="00AC259F"/>
    <w:rsid w:val="00AC79BD"/>
    <w:rsid w:val="00AD7BC8"/>
    <w:rsid w:val="00AE39D4"/>
    <w:rsid w:val="00AE55B1"/>
    <w:rsid w:val="00AE560F"/>
    <w:rsid w:val="00AE5F2A"/>
    <w:rsid w:val="00AE7BE1"/>
    <w:rsid w:val="00AF6A49"/>
    <w:rsid w:val="00B01A87"/>
    <w:rsid w:val="00B02197"/>
    <w:rsid w:val="00B02740"/>
    <w:rsid w:val="00B02851"/>
    <w:rsid w:val="00B0513A"/>
    <w:rsid w:val="00B05804"/>
    <w:rsid w:val="00B13F67"/>
    <w:rsid w:val="00B2170A"/>
    <w:rsid w:val="00B222AF"/>
    <w:rsid w:val="00B24609"/>
    <w:rsid w:val="00B278B0"/>
    <w:rsid w:val="00B33500"/>
    <w:rsid w:val="00B33D1A"/>
    <w:rsid w:val="00B47BC3"/>
    <w:rsid w:val="00B5238D"/>
    <w:rsid w:val="00B675A8"/>
    <w:rsid w:val="00B70058"/>
    <w:rsid w:val="00B714D5"/>
    <w:rsid w:val="00B721D2"/>
    <w:rsid w:val="00B92EEC"/>
    <w:rsid w:val="00BA2003"/>
    <w:rsid w:val="00BA4CAC"/>
    <w:rsid w:val="00BB10CA"/>
    <w:rsid w:val="00BB293B"/>
    <w:rsid w:val="00BC4D41"/>
    <w:rsid w:val="00BD5E4C"/>
    <w:rsid w:val="00BD68E0"/>
    <w:rsid w:val="00BF4362"/>
    <w:rsid w:val="00C06DFC"/>
    <w:rsid w:val="00C243B8"/>
    <w:rsid w:val="00C25679"/>
    <w:rsid w:val="00C275B3"/>
    <w:rsid w:val="00C3437D"/>
    <w:rsid w:val="00C35CE9"/>
    <w:rsid w:val="00C445E1"/>
    <w:rsid w:val="00C452E3"/>
    <w:rsid w:val="00C52EC1"/>
    <w:rsid w:val="00C64E86"/>
    <w:rsid w:val="00C65441"/>
    <w:rsid w:val="00C670E5"/>
    <w:rsid w:val="00C7651B"/>
    <w:rsid w:val="00C77391"/>
    <w:rsid w:val="00C84ACB"/>
    <w:rsid w:val="00CA1F20"/>
    <w:rsid w:val="00CA335E"/>
    <w:rsid w:val="00CA5884"/>
    <w:rsid w:val="00CB33AA"/>
    <w:rsid w:val="00CC0022"/>
    <w:rsid w:val="00CC4F65"/>
    <w:rsid w:val="00CC5E88"/>
    <w:rsid w:val="00CC72BD"/>
    <w:rsid w:val="00CD1460"/>
    <w:rsid w:val="00CE008C"/>
    <w:rsid w:val="00CE57E3"/>
    <w:rsid w:val="00CF4FA2"/>
    <w:rsid w:val="00CF75D3"/>
    <w:rsid w:val="00D031F7"/>
    <w:rsid w:val="00D0363E"/>
    <w:rsid w:val="00D05619"/>
    <w:rsid w:val="00D122A1"/>
    <w:rsid w:val="00D13C30"/>
    <w:rsid w:val="00D1675C"/>
    <w:rsid w:val="00D20269"/>
    <w:rsid w:val="00D23D0E"/>
    <w:rsid w:val="00D25882"/>
    <w:rsid w:val="00D26C12"/>
    <w:rsid w:val="00D2742A"/>
    <w:rsid w:val="00D27683"/>
    <w:rsid w:val="00D329C6"/>
    <w:rsid w:val="00D461D1"/>
    <w:rsid w:val="00D50EA0"/>
    <w:rsid w:val="00D579FF"/>
    <w:rsid w:val="00D65A28"/>
    <w:rsid w:val="00D72F52"/>
    <w:rsid w:val="00D74166"/>
    <w:rsid w:val="00D8001B"/>
    <w:rsid w:val="00D874AF"/>
    <w:rsid w:val="00D9257B"/>
    <w:rsid w:val="00D9302D"/>
    <w:rsid w:val="00DA117F"/>
    <w:rsid w:val="00DB2D7F"/>
    <w:rsid w:val="00DB41E3"/>
    <w:rsid w:val="00DB74BF"/>
    <w:rsid w:val="00DC0E13"/>
    <w:rsid w:val="00DC188B"/>
    <w:rsid w:val="00DC22CB"/>
    <w:rsid w:val="00DC34FF"/>
    <w:rsid w:val="00DE20BC"/>
    <w:rsid w:val="00DE3B1F"/>
    <w:rsid w:val="00DE5B07"/>
    <w:rsid w:val="00DE7CE6"/>
    <w:rsid w:val="00DF4E5C"/>
    <w:rsid w:val="00E02707"/>
    <w:rsid w:val="00E040D3"/>
    <w:rsid w:val="00E179E9"/>
    <w:rsid w:val="00E24C30"/>
    <w:rsid w:val="00E2770A"/>
    <w:rsid w:val="00E329AA"/>
    <w:rsid w:val="00E375F0"/>
    <w:rsid w:val="00E41322"/>
    <w:rsid w:val="00E47D73"/>
    <w:rsid w:val="00E5067E"/>
    <w:rsid w:val="00E52F15"/>
    <w:rsid w:val="00E5457A"/>
    <w:rsid w:val="00E5518C"/>
    <w:rsid w:val="00E556AA"/>
    <w:rsid w:val="00E649FF"/>
    <w:rsid w:val="00E65C6B"/>
    <w:rsid w:val="00E73A4A"/>
    <w:rsid w:val="00E767B2"/>
    <w:rsid w:val="00E80E17"/>
    <w:rsid w:val="00E832F1"/>
    <w:rsid w:val="00E96053"/>
    <w:rsid w:val="00EA6219"/>
    <w:rsid w:val="00EB55B4"/>
    <w:rsid w:val="00EE0ACF"/>
    <w:rsid w:val="00EE1611"/>
    <w:rsid w:val="00EF3DD5"/>
    <w:rsid w:val="00EF5938"/>
    <w:rsid w:val="00F0240E"/>
    <w:rsid w:val="00F0728F"/>
    <w:rsid w:val="00F201C3"/>
    <w:rsid w:val="00F22DF3"/>
    <w:rsid w:val="00F31C93"/>
    <w:rsid w:val="00F36CBE"/>
    <w:rsid w:val="00F4322C"/>
    <w:rsid w:val="00F50121"/>
    <w:rsid w:val="00F568C6"/>
    <w:rsid w:val="00F60F0F"/>
    <w:rsid w:val="00F765D1"/>
    <w:rsid w:val="00F80767"/>
    <w:rsid w:val="00F87CB5"/>
    <w:rsid w:val="00F93422"/>
    <w:rsid w:val="00F9756E"/>
    <w:rsid w:val="00FA758C"/>
    <w:rsid w:val="00FB222B"/>
    <w:rsid w:val="00FB388D"/>
    <w:rsid w:val="00FC5414"/>
    <w:rsid w:val="00FC5E9C"/>
    <w:rsid w:val="00FD1A4D"/>
    <w:rsid w:val="00FE0F08"/>
    <w:rsid w:val="00FE5E50"/>
    <w:rsid w:val="00FF09A8"/>
    <w:rsid w:val="00FF107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9302D"/>
    <w:rPr>
      <w:rFonts w:cs="Times New Roman"/>
      <w:sz w:val="16"/>
      <w:szCs w:val="16"/>
    </w:rPr>
  </w:style>
  <w:style w:type="paragraph" w:styleId="CommentText">
    <w:name w:val="annotation text"/>
    <w:basedOn w:val="Normal"/>
    <w:link w:val="CommentTextChar"/>
    <w:uiPriority w:val="99"/>
    <w:rsid w:val="00D9302D"/>
    <w:rPr>
      <w:sz w:val="20"/>
      <w:szCs w:val="20"/>
    </w:rPr>
  </w:style>
  <w:style w:type="character" w:customStyle="1" w:styleId="CommentTextChar">
    <w:name w:val="Comment Text Char"/>
    <w:basedOn w:val="DefaultParagraphFont"/>
    <w:link w:val="CommentText"/>
    <w:uiPriority w:val="99"/>
    <w:locked/>
    <w:rsid w:val="00D9302D"/>
    <w:rPr>
      <w:rFonts w:cs="Times New Roman"/>
    </w:rPr>
  </w:style>
  <w:style w:type="paragraph" w:styleId="CommentSubject">
    <w:name w:val="annotation subject"/>
    <w:basedOn w:val="CommentText"/>
    <w:next w:val="CommentText"/>
    <w:link w:val="CommentSubjectChar"/>
    <w:uiPriority w:val="99"/>
    <w:rsid w:val="00D9302D"/>
    <w:rPr>
      <w:b/>
      <w:bCs/>
    </w:rPr>
  </w:style>
  <w:style w:type="character" w:customStyle="1" w:styleId="CommentSubjectChar">
    <w:name w:val="Comment Subject Char"/>
    <w:basedOn w:val="CommentTextChar"/>
    <w:link w:val="CommentSubject"/>
    <w:uiPriority w:val="99"/>
    <w:locked/>
    <w:rsid w:val="00D9302D"/>
    <w:rPr>
      <w:rFonts w:cs="Times New Roman"/>
      <w:b/>
      <w:bCs/>
    </w:rPr>
  </w:style>
  <w:style w:type="paragraph" w:styleId="BalloonText">
    <w:name w:val="Balloon Text"/>
    <w:basedOn w:val="Normal"/>
    <w:link w:val="BalloonTextChar"/>
    <w:uiPriority w:val="99"/>
    <w:rsid w:val="00D9302D"/>
    <w:rPr>
      <w:rFonts w:ascii="Tahoma" w:hAnsi="Tahoma" w:cs="Tahoma"/>
      <w:sz w:val="16"/>
      <w:szCs w:val="16"/>
    </w:rPr>
  </w:style>
  <w:style w:type="character" w:customStyle="1" w:styleId="BalloonTextChar">
    <w:name w:val="Balloon Text Char"/>
    <w:basedOn w:val="DefaultParagraphFont"/>
    <w:link w:val="BalloonText"/>
    <w:uiPriority w:val="99"/>
    <w:locked/>
    <w:rsid w:val="00D9302D"/>
    <w:rPr>
      <w:rFonts w:ascii="Tahoma" w:hAnsi="Tahoma" w:cs="Tahoma"/>
      <w:sz w:val="16"/>
      <w:szCs w:val="16"/>
    </w:rPr>
  </w:style>
  <w:style w:type="paragraph" w:styleId="ListParagraph">
    <w:name w:val="List Paragraph"/>
    <w:basedOn w:val="Normal"/>
    <w:uiPriority w:val="99"/>
    <w:qFormat/>
    <w:rsid w:val="008943F7"/>
    <w:pPr>
      <w:spacing w:after="200" w:line="276" w:lineRule="auto"/>
      <w:ind w:left="720"/>
    </w:pPr>
    <w:rPr>
      <w:rFonts w:ascii="Calibri" w:hAnsi="Calibri"/>
      <w:sz w:val="22"/>
      <w:szCs w:val="22"/>
    </w:rPr>
  </w:style>
  <w:style w:type="paragraph" w:customStyle="1" w:styleId="title-doc-first">
    <w:name w:val="title-doc-first"/>
    <w:basedOn w:val="Normal"/>
    <w:uiPriority w:val="99"/>
    <w:rsid w:val="00BA2003"/>
    <w:pPr>
      <w:spacing w:before="100" w:beforeAutospacing="1" w:after="100" w:afterAutospacing="1"/>
    </w:pPr>
  </w:style>
  <w:style w:type="table" w:styleId="TableGrid">
    <w:name w:val="Table Grid"/>
    <w:basedOn w:val="TableNormal"/>
    <w:uiPriority w:val="99"/>
    <w:rsid w:val="004870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72E3"/>
    <w:rPr>
      <w:rFonts w:cs="Times New Roman"/>
      <w:color w:val="0000FF"/>
      <w:u w:val="single"/>
    </w:rPr>
  </w:style>
  <w:style w:type="paragraph" w:customStyle="1" w:styleId="Default">
    <w:name w:val="Default"/>
    <w:uiPriority w:val="99"/>
    <w:rsid w:val="00954363"/>
    <w:pPr>
      <w:suppressAutoHyphens/>
      <w:autoSpaceDE w:val="0"/>
    </w:pPr>
    <w:rPr>
      <w:rFonts w:ascii="EUAlbertina" w:hAnsi="EUAlbertina" w:cs="EUAlbertina"/>
      <w:color w:val="000000"/>
      <w:sz w:val="24"/>
      <w:szCs w:val="24"/>
      <w:lang w:eastAsia="ar-SA"/>
    </w:rPr>
  </w:style>
  <w:style w:type="paragraph" w:styleId="NormalWeb">
    <w:name w:val="Normal (Web)"/>
    <w:basedOn w:val="Normal"/>
    <w:uiPriority w:val="99"/>
    <w:rsid w:val="00954363"/>
    <w:pPr>
      <w:spacing w:before="100" w:beforeAutospacing="1" w:after="119"/>
    </w:pPr>
  </w:style>
  <w:style w:type="paragraph" w:styleId="HTMLPreformatted">
    <w:name w:val="HTML Preformatted"/>
    <w:basedOn w:val="Normal"/>
    <w:link w:val="HTMLPreformattedChar"/>
    <w:uiPriority w:val="99"/>
    <w:rsid w:val="0083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832FAA"/>
    <w:rPr>
      <w:rFonts w:ascii="Courier New" w:hAnsi="Courier New" w:cs="Courier New"/>
    </w:rPr>
  </w:style>
  <w:style w:type="character" w:customStyle="1" w:styleId="BodyText3Char">
    <w:name w:val="Body Text 3 Char"/>
    <w:link w:val="BodyText3"/>
    <w:uiPriority w:val="99"/>
    <w:locked/>
    <w:rsid w:val="002D176B"/>
    <w:rPr>
      <w:rFonts w:ascii="Arial" w:eastAsia="Times New Roman" w:hAnsi="Arial"/>
      <w:b/>
      <w:sz w:val="24"/>
    </w:rPr>
  </w:style>
  <w:style w:type="paragraph" w:styleId="BodyText3">
    <w:name w:val="Body Text 3"/>
    <w:basedOn w:val="Normal"/>
    <w:link w:val="BodyText3Char"/>
    <w:uiPriority w:val="99"/>
    <w:rsid w:val="002D176B"/>
    <w:pPr>
      <w:widowControl w:val="0"/>
      <w:jc w:val="both"/>
    </w:pPr>
    <w:rPr>
      <w:rFonts w:ascii="Arial" w:hAnsi="Arial"/>
      <w:b/>
      <w:bCs/>
      <w:szCs w:val="20"/>
    </w:rPr>
  </w:style>
  <w:style w:type="character" w:customStyle="1" w:styleId="BodyText3Char1">
    <w:name w:val="Body Text 3 Char1"/>
    <w:basedOn w:val="DefaultParagraphFont"/>
    <w:uiPriority w:val="99"/>
    <w:semiHidden/>
    <w:rsid w:val="00160EBD"/>
    <w:rPr>
      <w:sz w:val="16"/>
      <w:szCs w:val="16"/>
    </w:rPr>
  </w:style>
  <w:style w:type="character" w:customStyle="1" w:styleId="3Char1">
    <w:name w:val="Σώμα κείμενου 3 Char1"/>
    <w:basedOn w:val="DefaultParagraphFont"/>
    <w:uiPriority w:val="99"/>
    <w:rsid w:val="002D176B"/>
    <w:rPr>
      <w:rFonts w:cs="Times New Roman"/>
      <w:sz w:val="16"/>
      <w:szCs w:val="16"/>
    </w:rPr>
  </w:style>
  <w:style w:type="paragraph" w:styleId="Header">
    <w:name w:val="header"/>
    <w:basedOn w:val="Normal"/>
    <w:link w:val="HeaderChar"/>
    <w:uiPriority w:val="99"/>
    <w:rsid w:val="00E52F15"/>
    <w:pPr>
      <w:tabs>
        <w:tab w:val="center" w:pos="4153"/>
        <w:tab w:val="right" w:pos="8306"/>
      </w:tabs>
    </w:pPr>
  </w:style>
  <w:style w:type="character" w:customStyle="1" w:styleId="HeaderChar">
    <w:name w:val="Header Char"/>
    <w:basedOn w:val="DefaultParagraphFont"/>
    <w:link w:val="Header"/>
    <w:uiPriority w:val="99"/>
    <w:locked/>
    <w:rsid w:val="00E52F15"/>
    <w:rPr>
      <w:rFonts w:cs="Times New Roman"/>
      <w:sz w:val="24"/>
      <w:szCs w:val="24"/>
    </w:rPr>
  </w:style>
  <w:style w:type="paragraph" w:styleId="Footer">
    <w:name w:val="footer"/>
    <w:basedOn w:val="Normal"/>
    <w:link w:val="FooterChar"/>
    <w:uiPriority w:val="99"/>
    <w:rsid w:val="00E52F15"/>
    <w:pPr>
      <w:tabs>
        <w:tab w:val="center" w:pos="4153"/>
        <w:tab w:val="right" w:pos="8306"/>
      </w:tabs>
    </w:pPr>
  </w:style>
  <w:style w:type="character" w:customStyle="1" w:styleId="FooterChar">
    <w:name w:val="Footer Char"/>
    <w:basedOn w:val="DefaultParagraphFont"/>
    <w:link w:val="Footer"/>
    <w:uiPriority w:val="99"/>
    <w:locked/>
    <w:rsid w:val="00E52F15"/>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418335853">
      <w:marLeft w:val="0"/>
      <w:marRight w:val="0"/>
      <w:marTop w:val="0"/>
      <w:marBottom w:val="0"/>
      <w:divBdr>
        <w:top w:val="none" w:sz="0" w:space="0" w:color="auto"/>
        <w:left w:val="none" w:sz="0" w:space="0" w:color="auto"/>
        <w:bottom w:val="none" w:sz="0" w:space="0" w:color="auto"/>
        <w:right w:val="none" w:sz="0" w:space="0" w:color="auto"/>
      </w:divBdr>
    </w:div>
    <w:div w:id="418335854">
      <w:marLeft w:val="0"/>
      <w:marRight w:val="0"/>
      <w:marTop w:val="0"/>
      <w:marBottom w:val="0"/>
      <w:divBdr>
        <w:top w:val="none" w:sz="0" w:space="0" w:color="auto"/>
        <w:left w:val="none" w:sz="0" w:space="0" w:color="auto"/>
        <w:bottom w:val="none" w:sz="0" w:space="0" w:color="auto"/>
        <w:right w:val="none" w:sz="0" w:space="0" w:color="auto"/>
      </w:divBdr>
    </w:div>
    <w:div w:id="418335855">
      <w:marLeft w:val="0"/>
      <w:marRight w:val="0"/>
      <w:marTop w:val="0"/>
      <w:marBottom w:val="0"/>
      <w:divBdr>
        <w:top w:val="none" w:sz="0" w:space="0" w:color="auto"/>
        <w:left w:val="none" w:sz="0" w:space="0" w:color="auto"/>
        <w:bottom w:val="none" w:sz="0" w:space="0" w:color="auto"/>
        <w:right w:val="none" w:sz="0" w:space="0" w:color="auto"/>
      </w:divBdr>
    </w:div>
    <w:div w:id="418335856">
      <w:marLeft w:val="0"/>
      <w:marRight w:val="0"/>
      <w:marTop w:val="0"/>
      <w:marBottom w:val="0"/>
      <w:divBdr>
        <w:top w:val="none" w:sz="0" w:space="0" w:color="auto"/>
        <w:left w:val="none" w:sz="0" w:space="0" w:color="auto"/>
        <w:bottom w:val="none" w:sz="0" w:space="0" w:color="auto"/>
        <w:right w:val="none" w:sz="0" w:space="0" w:color="auto"/>
      </w:divBdr>
    </w:div>
    <w:div w:id="418335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EL/AUTO/?uri=celex:32011R0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37</Pages>
  <Words>11366</Words>
  <Characters>64790</Characters>
  <Application>Microsoft Office Word</Application>
  <DocSecurity>0</DocSecurity>
  <Lines>539</Lines>
  <Paragraphs>152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ΑΙΤΙΟΛΟΓΙΚΗ ΕΚΘΕΣΗ</vt:lpstr>
      <vt:lpstr>ΑΙΤΙΟΛΟΓΙΚΗ ΕΚΘΕΣΗ</vt:lpstr>
    </vt:vector>
  </TitlesOfParts>
  <Company>Toshiba</Company>
  <LinksUpToDate>false</LinksUpToDate>
  <CharactersWithSpaces>76004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ΑΙΤΙΟΛΟΓΙΚΗ ΕΚΘΕΣΗ</dc:title>
  <dc:creator>ILIAS</dc:creator>
  <cp:lastModifiedBy>aliki</cp:lastModifiedBy>
  <cp:revision>6</cp:revision>
  <cp:lastPrinted>2020-03-09T08:55:00Z</cp:lastPrinted>
  <dcterms:created xsi:type="dcterms:W3CDTF">2020-04-07T09:39:00Z</dcterms:created>
  <dcterms:modified xsi:type="dcterms:W3CDTF">2020-04-07T10:11:00Z</dcterms:modified>
</cp:coreProperties>
</file>