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Δημόσια ηλεκτρονική διαβούλευση για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Πόρων(Ο.Δ.Α.Π.)-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ΠΟΛΙΤΙΣΜΟΥ</w:t>
            </w:r>
          </w:p>
        </w:tc>
      </w:tr>
      <w:tr>
        <w:trPr/>
        <w:tc>
          <w:tcPr>
            <w:tcW w:w="3500" w:type="dxa"/>
            <w:noWrap/>
          </w:tcPr>
          <w:p>
            <w:pPr/>
            <w:r>
              <w:rPr>
                <w:b w:val="1"/>
                <w:bCs w:val="1"/>
              </w:rPr>
              <w:t xml:space="preserve">Ημερομηνία έναρξης</w:t>
            </w:r>
          </w:p>
        </w:tc>
        <w:tc>
          <w:tcPr>
            <w:tcW w:w="5500" w:type="dxa"/>
            <w:noWrap/>
          </w:tcPr>
          <w:p>
            <w:pPr/>
            <w:r>
              <w:rPr/>
              <w:t xml:space="preserve">7 Ιουλίου 2026, 22:30</w:t>
            </w:r>
          </w:p>
        </w:tc>
      </w:tr>
      <w:tr>
        <w:trPr/>
        <w:tc>
          <w:tcPr>
            <w:tcW w:w="3500" w:type="dxa"/>
            <w:noWrap/>
          </w:tcPr>
          <w:p>
            <w:pPr/>
            <w:r>
              <w:rPr>
                <w:b w:val="1"/>
                <w:bCs w:val="1"/>
              </w:rPr>
              <w:t xml:space="preserve">Ημερομηνία λήξης</w:t>
            </w:r>
          </w:p>
        </w:tc>
        <w:tc>
          <w:tcPr>
            <w:tcW w:w="5500" w:type="dxa"/>
            <w:noWrap/>
          </w:tcPr>
          <w:p>
            <w:pPr/>
            <w:r>
              <w:rPr/>
              <w:t xml:space="preserve">20 Ιουλίου 2026, 09:00</w:t>
            </w:r>
          </w:p>
        </w:tc>
      </w:tr>
      <w:tr>
        <w:trPr/>
        <w:tc>
          <w:tcPr>
            <w:tcW w:w="3500" w:type="dxa"/>
            <w:noWrap/>
          </w:tcPr>
          <w:p>
            <w:pPr/>
            <w:r>
              <w:rPr>
                <w:b w:val="1"/>
                <w:bCs w:val="1"/>
              </w:rPr>
              <w:t xml:space="preserve">Κατάσταση διαβούλευσης</w:t>
            </w:r>
          </w:p>
        </w:tc>
        <w:tc>
          <w:tcPr>
            <w:tcW w:w="5500" w:type="dxa"/>
            <w:noWrap/>
          </w:tcPr>
          <w:p>
            <w:pPr/>
            <w:r>
              <w:rPr/>
              <w:t xml:space="preserve">Ολοκληρωμένη</w:t>
            </w:r>
          </w:p>
        </w:tc>
      </w:tr>
      <w:tr>
        <w:trPr/>
        <w:tc>
          <w:tcPr>
            <w:tcW w:w="3500" w:type="dxa"/>
            <w:noWrap/>
          </w:tcPr>
          <w:p>
            <w:pPr/>
            <w:r>
              <w:rPr>
                <w:b w:val="1"/>
                <w:bCs w:val="1"/>
              </w:rPr>
              <w:t xml:space="preserve">Συνολικός αριθμός δημοσιευμένων σχολίων</w:t>
            </w:r>
          </w:p>
        </w:tc>
        <w:tc>
          <w:tcPr>
            <w:tcW w:w="5500" w:type="dxa"/>
            <w:noWrap/>
          </w:tcPr>
          <w:p>
            <w:pPr/>
            <w:r>
              <w:rPr/>
              <w:t xml:space="preserve">97</w:t>
            </w:r>
          </w:p>
        </w:tc>
      </w:tr>
      <w:tr>
        <w:trPr/>
        <w:tc>
          <w:tcPr>
            <w:tcW w:w="3500" w:type="dxa"/>
            <w:noWrap/>
          </w:tcPr>
          <w:p>
            <w:pPr/>
            <w:r>
              <w:rPr>
                <w:b w:val="1"/>
                <w:bCs w:val="1"/>
              </w:rPr>
              <w:t xml:space="preserve">Ημερομηνία και ώρα εξαγωγής</w:t>
            </w:r>
          </w:p>
        </w:tc>
        <w:tc>
          <w:tcPr>
            <w:tcW w:w="5500" w:type="dxa"/>
            <w:noWrap/>
          </w:tcPr>
          <w:p>
            <w:pPr/>
            <w:r>
              <w:rPr/>
              <w:t xml:space="preserve">26-08-2026 13:05:02</w:t>
            </w:r>
          </w:p>
        </w:tc>
      </w:tr>
    </w:tbl>
    <w:p/>
    <w:p/>
    <w:p>
      <w:pPr/>
      <w:r>
        <w:rPr>
          <w:sz w:val="26"/>
          <w:szCs w:val="26"/>
          <w:b w:val="1"/>
          <w:bCs w:val="1"/>
        </w:rPr>
        <w:t xml:space="preserve">Συγκεντρωτικός Πίνακας Δημοσιευμένων Σχολίων ανά Ενότητα</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Ενότητα</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Ενότητα 1</w:t>
              </w:r>
            </w:hyperlink>
          </w:p>
        </w:tc>
        <w:tc>
          <w:tcPr>
            <w:tcW w:w="6600" w:type="dxa"/>
            <w:noWrap/>
          </w:tcPr>
          <w:p>
            <w:hyperlink w:anchor="og_article_1" w:history="1">
              <w:r>
                <w:t xml:space="preserve">ΜΕΡΟΣ A’ ΟΡΓΑΝΙΣΜΟΣ ΑΝΑΠΤΥΞΗΣ ΚΑΙ ΔΙΑΧΕΙΡΙΣΗΣ ΕΛΛΗΝΙΚΗΣ ΠΟΛΙΤΙΣΤΙΚΗΣ ΚΛΗΡΟΝΟΜΙΑΣ Α.Ε. (HELLENIC HERITAGE) (Άρθρα 1-28)</w:t>
              </w:r>
            </w:hyperlink>
          </w:p>
        </w:tc>
        <w:tc>
          <w:tcPr>
            <w:tcW w:w="900" w:type="dxa"/>
            <w:noWrap/>
          </w:tcPr>
          <w:p>
            <w:pPr/>
            <w:r>
              <w:rPr/>
              <w:t xml:space="preserve">34</w:t>
            </w:r>
          </w:p>
        </w:tc>
      </w:tr>
      <w:tr>
        <w:trPr/>
        <w:tc>
          <w:tcPr>
            <w:tcW w:w="1500" w:type="dxa"/>
            <w:noWrap/>
          </w:tcPr>
          <w:p>
            <w:hyperlink w:anchor="og_article_2" w:history="1">
              <w:r>
                <w:t xml:space="preserve">Ενότητα 2</w:t>
              </w:r>
            </w:hyperlink>
          </w:p>
        </w:tc>
        <w:tc>
          <w:tcPr>
            <w:tcW w:w="6600" w:type="dxa"/>
            <w:noWrap/>
          </w:tcPr>
          <w:p>
            <w:hyperlink w:anchor="og_article_2" w:history="1">
              <w:r>
                <w:t xml:space="preserve">ΜΕΡΟΣ Β΄ ΔΙΟΙΚΗΤΙΚΗ ΑΝΑΔΙΟΡΓΑΝΩΣΗ ΤΟΥ ΟΡΓΑΝΙΣΜΟΥ ΔΙΑΧΕΙΡΙΣΗΣ ΚΑΙ ΑΝΑΠΤΥΞΗΣ ΠΟΛΙΤΙΣΤΙΚΩΝ ΠΟΡΩΝ – ΤΡΟΠΟΠΟΙΗΣΗ Ν. 4761/2020 (Άρθρα 29-51)</w:t>
              </w:r>
            </w:hyperlink>
          </w:p>
        </w:tc>
        <w:tc>
          <w:tcPr>
            <w:tcW w:w="900" w:type="dxa"/>
            <w:noWrap/>
          </w:tcPr>
          <w:p>
            <w:pPr/>
            <w:r>
              <w:rPr/>
              <w:t xml:space="preserve">15</w:t>
            </w:r>
          </w:p>
        </w:tc>
      </w:tr>
      <w:tr>
        <w:trPr/>
        <w:tc>
          <w:tcPr>
            <w:tcW w:w="1500" w:type="dxa"/>
            <w:noWrap/>
          </w:tcPr>
          <w:p>
            <w:hyperlink w:anchor="og_article_3" w:history="1">
              <w:r>
                <w:t xml:space="preserve">Ενότητα 3</w:t>
              </w:r>
            </w:hyperlink>
          </w:p>
        </w:tc>
        <w:tc>
          <w:tcPr>
            <w:tcW w:w="6600" w:type="dxa"/>
            <w:noWrap/>
          </w:tcPr>
          <w:p>
            <w:hyperlink w:anchor="og_article_3" w:history="1">
              <w:r>
                <w:t xml:space="preserve">ΜΕΡΟΣ Γ’ (Άρθρα 52-73)</w:t>
              </w:r>
            </w:hyperlink>
          </w:p>
        </w:tc>
        <w:tc>
          <w:tcPr>
            <w:tcW w:w="900" w:type="dxa"/>
            <w:noWrap/>
          </w:tcPr>
          <w:p>
            <w:pPr/>
            <w:r>
              <w:rPr/>
              <w:t xml:space="preserve">1</w:t>
            </w:r>
          </w:p>
        </w:tc>
      </w:tr>
      <w:tr>
        <w:trPr/>
        <w:tc>
          <w:tcPr>
            <w:tcW w:w="1500" w:type="dxa"/>
            <w:noWrap/>
          </w:tcPr>
          <w:p>
            <w:hyperlink w:anchor="og_article_4" w:history="1">
              <w:r>
                <w:t xml:space="preserve">Ενότητα 4</w:t>
              </w:r>
            </w:hyperlink>
          </w:p>
        </w:tc>
        <w:tc>
          <w:tcPr>
            <w:tcW w:w="6600" w:type="dxa"/>
            <w:noWrap/>
          </w:tcPr>
          <w:p>
            <w:hyperlink w:anchor="og_article_4" w:history="1">
              <w:r>
                <w:t xml:space="preserve">ΜΕΡΟΣ Δ΄ ΡΥΘΜΙΣΕΙΣ ΓΙΑ ΤΗΝ ΕΦΑΡΜΟΓΗ ΤΟΥ ΕΘΝΙΚΟΥ ΣΧΕΔΙΟΥ ΔΡΑΣΗΣ ΓΙΑ ΤΗΝ ΑΝΑΠΤΥΞΗ ΤΟΥ ΟΠΤΙΚΟΑΚΟΥΣΤΙΚΟΥ ΔΗΜΙΟΥΡΓΙΚΟΥ ΤΟΜΕΑ (Άρθρα 74-104)</w:t>
              </w:r>
            </w:hyperlink>
          </w:p>
        </w:tc>
        <w:tc>
          <w:tcPr>
            <w:tcW w:w="900" w:type="dxa"/>
            <w:noWrap/>
          </w:tcPr>
          <w:p>
            <w:pPr/>
            <w:r>
              <w:rPr/>
              <w:t xml:space="preserve">21</w:t>
            </w:r>
          </w:p>
        </w:tc>
      </w:tr>
      <w:tr>
        <w:trPr/>
        <w:tc>
          <w:tcPr>
            <w:tcW w:w="1500" w:type="dxa"/>
            <w:noWrap/>
          </w:tcPr>
          <w:p>
            <w:hyperlink w:anchor="og_article_5" w:history="1">
              <w:r>
                <w:t xml:space="preserve">Ενότητα 5</w:t>
              </w:r>
            </w:hyperlink>
          </w:p>
        </w:tc>
        <w:tc>
          <w:tcPr>
            <w:tcW w:w="6600" w:type="dxa"/>
            <w:noWrap/>
          </w:tcPr>
          <w:p>
            <w:hyperlink w:anchor="og_article_5" w:history="1">
              <w:r>
                <w:t xml:space="preserve">ΜΕΡΟΣ Ε’ ΛΟΙΠΕΣ ΔΙΑΤΑΞΕΙΣ ΑΡΜΟΔΙΟΤΗΤΑΣ ΤΟΥ ΥΠΟΥΡΓΕΙΟΥ ΠΟΛΙΤΙΣΜΟΥ (Άρθρα 105-127)</w:t>
              </w:r>
            </w:hyperlink>
          </w:p>
        </w:tc>
        <w:tc>
          <w:tcPr>
            <w:tcW w:w="900" w:type="dxa"/>
            <w:noWrap/>
          </w:tcPr>
          <w:p>
            <w:pPr/>
            <w:r>
              <w:rPr/>
              <w:t xml:space="preserve">18</w:t>
            </w:r>
          </w:p>
        </w:tc>
      </w:tr>
      <w:tr>
        <w:trPr/>
        <w:tc>
          <w:tcPr>
            <w:tcW w:w="1500" w:type="dxa"/>
            <w:noWrap/>
          </w:tcPr>
          <w:p>
            <w:hyperlink w:anchor="og_article_6" w:history="1">
              <w:r>
                <w:t xml:space="preserve">Ενότητα 6</w:t>
              </w:r>
            </w:hyperlink>
          </w:p>
        </w:tc>
        <w:tc>
          <w:tcPr>
            <w:tcW w:w="6600" w:type="dxa"/>
            <w:noWrap/>
          </w:tcPr>
          <w:p>
            <w:hyperlink w:anchor="og_article_6" w:history="1">
              <w:r>
                <w:t xml:space="preserve">ΜΕΡΟΣ ΣΤ’ ΕΠΕΙΓΟΥΣΕΣ ΔΙΑΤΑΞΕΙΣ ΤΟΥ ΥΠΟΥΡΓΕΙΟΥ ΠΑΙΔΕΙΑΣ, ΘΡΗΣΚΕΥΜΑΤΩΝ ΚΑΙ ΑΘΛΗΤΙΣΜΟΥ (Άρθρα 128-135)</w:t>
              </w:r>
            </w:hyperlink>
          </w:p>
        </w:tc>
        <w:tc>
          <w:tcPr>
            <w:tcW w:w="900" w:type="dxa"/>
            <w:noWrap/>
          </w:tcPr>
          <w:p>
            <w:pPr/>
            <w:r>
              <w:rPr/>
              <w:t xml:space="preserve">8</w:t>
            </w:r>
          </w:p>
        </w:tc>
      </w:tr>
      <w:tr>
        <w:trPr/>
        <w:tc>
          <w:tcPr>
            <w:tcW w:w="1500" w:type="dxa"/>
            <w:noWrap/>
          </w:tcPr>
          <w:p>
            <w:hyperlink w:anchor="og_article_7" w:history="1">
              <w:r>
                <w:t xml:space="preserve">Ενότητα 7</w:t>
              </w:r>
            </w:hyperlink>
          </w:p>
        </w:tc>
        <w:tc>
          <w:tcPr>
            <w:tcW w:w="6600" w:type="dxa"/>
            <w:noWrap/>
          </w:tcPr>
          <w:p>
            <w:hyperlink w:anchor="og_article_7" w:history="1">
              <w:r>
                <w:t xml:space="preserve">ΜΕΡΟΣ Ζ’ ΕΝΑΡΞΗ ΙΣΧΥΟΣ   Άρθρο 136 Έναρξη ισχύος</w:t>
              </w:r>
            </w:hyperlink>
          </w:p>
        </w:tc>
        <w:tc>
          <w:tcPr>
            <w:tcW w:w="900" w:type="dxa"/>
            <w:noWrap/>
          </w:tcPr>
          <w:p>
            <w:pPr/>
            <w:r>
              <w:rPr/>
              <w:t xml:space="preserve">0</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1 – ΜΕΡΟΣ A’ ΟΡΓΑΝΙΣΜΟΣ ΑΝΑΠΤΥΞΗΣ ΚΑΙ ΔΙΑΧΕΙΡΙΣΗΣ ΕΛΛΗΝΙΚΗΣ ΠΟΛΙΤΙΣΤΙΚΗΣ ΚΛΗΡΟΝΟΜΙΑΣ Α.Ε. (HELLENIC HERITAGE) (Άρθρα 1-28)</w:t>
      </w:r>
    </w:p>
    <w:p>
      <w:pPr>
        <w:jc w:val="both"/>
      </w:pPr>
      <w:r>
        <w:rPr>
          <w:sz w:val="22"/>
          <w:szCs w:val="22"/>
          <w:b w:val="1"/>
          <w:bCs w:val="1"/>
        </w:rPr>
        <w:t xml:space="preserve">ΚΕΦΑΛΑΙΟ Α΄</w:t>
      </w:r>
    </w:p>
    <w:p>
      <w:pPr>
        <w:jc w:val="both"/>
      </w:pPr>
      <w:r>
        <w:rPr>
          <w:sz w:val="22"/>
          <w:szCs w:val="22"/>
          <w:b w:val="1"/>
          <w:bCs w:val="1"/>
        </w:rPr>
        <w:t xml:space="preserve">ΓΕΝΙΚΕΣ ΔΙΑΤΑΞΕΙΣ</w:t>
      </w:r>
    </w:p>
    <w:p>
      <w:pPr>
        <w:jc w:val="both"/>
      </w:pPr>
      <w:r>
        <w:rPr>
          <w:sz w:val="22"/>
          <w:szCs w:val="22"/>
          <w:b w:val="1"/>
          <w:bCs w:val="1"/>
        </w:rPr>
        <w:t xml:space="preserve"> </w:t>
      </w:r>
    </w:p>
    <w:p>
      <w:pPr>
        <w:jc w:val="both"/>
      </w:pPr>
      <w:r>
        <w:rPr>
          <w:sz w:val="22"/>
          <w:szCs w:val="22"/>
          <w:b w:val="1"/>
          <w:bCs w:val="1"/>
        </w:rPr>
        <w:t xml:space="preserve">Άρθρο 1</w:t>
      </w:r>
    </w:p>
    <w:p>
      <w:pPr>
        <w:jc w:val="both"/>
      </w:pPr>
      <w:r>
        <w:rPr>
          <w:sz w:val="22"/>
          <w:szCs w:val="22"/>
          <w:b w:val="1"/>
          <w:bCs w:val="1"/>
        </w:rPr>
        <w:t xml:space="preserve">Σκοπός</w:t>
      </w:r>
    </w:p>
    <w:p>
      <w:pPr>
        <w:jc w:val="both"/>
      </w:pPr>
      <w:r>
        <w:rPr>
          <w:sz w:val="22"/>
          <w:szCs w:val="22"/>
        </w:rPr>
        <w:t xml:space="preserve">Σκοπός του παρόντος Μέρους είναι ο εκσυγχρονισμός της επιχειρησιακής και εμπορικής λειτουργίας του Οργανισμού Διαχείρισης και Ανάπτυξης Πολιτιστικών Πόρων (εφεξής: Ο.Δ.Α.Π.) με στόχο:</w:t>
      </w:r>
    </w:p>
    <w:p>
      <w:pPr>
        <w:jc w:val="both"/>
      </w:pPr>
      <w:r>
        <w:rPr>
          <w:sz w:val="22"/>
          <w:szCs w:val="22"/>
        </w:rPr>
        <w:t xml:space="preserve">α) την ψηφιακή ανάδειξη και προβολή της πολιτιστικής κληρονομιάς μέσω της αξιοποίησης των σύγχρονων τεχνολογιών, της τεχνητής νοημοσύνης και καινοτόμων ψηφιακών μέσων,</w:t>
      </w:r>
    </w:p>
    <w:p>
      <w:pPr>
        <w:jc w:val="both"/>
      </w:pPr>
      <w:r>
        <w:rPr>
          <w:sz w:val="22"/>
          <w:szCs w:val="22"/>
        </w:rPr>
        <w:t xml:space="preserve">β) τη βέλτιστη αξιοποίηση της ακίνητης και κινητής περιουσίας του Ο.Δ.Α.Π. και της ακίνητης περιουσίας κυριότητας του Υπουργείου Πολιτισμού, η διαχείριση της οποίας έχει ανατεθεί στον Ο.Δ.Α.Π.,</w:t>
      </w:r>
    </w:p>
    <w:p>
      <w:pPr>
        <w:jc w:val="both"/>
      </w:pPr>
      <w:r>
        <w:rPr>
          <w:sz w:val="22"/>
          <w:szCs w:val="22"/>
        </w:rPr>
        <w:t xml:space="preserve">γ) την ενίσχυση των εσόδων του Ο.Δ.Α.Π.,</w:t>
      </w:r>
    </w:p>
    <w:p>
      <w:pPr>
        <w:jc w:val="both"/>
      </w:pPr>
      <w:r>
        <w:rPr>
          <w:sz w:val="22"/>
          <w:szCs w:val="22"/>
        </w:rPr>
        <w:t xml:space="preserve">δ) την αναβάθμιση της ποιότητας των παρεχόμενων υπηρεσιών στους επισκέπτες των αρχαιολογικών χώρων, των ιστορικών τόπων, των μνημείων και των μουσείων και</w:t>
      </w:r>
    </w:p>
    <w:p>
      <w:pPr>
        <w:jc w:val="both"/>
      </w:pPr>
      <w:r>
        <w:rPr>
          <w:sz w:val="22"/>
          <w:szCs w:val="22"/>
        </w:rPr>
        <w:t xml:space="preserve">ε) τον σχεδιασμό και την ανάπτυξη ολοκληρωμένης εμπορικής πολιτικής για την προβολή, προώθηση και διάθεση στο κοινό και στους ιδιώτες εμπόρους των προϊόντων και υπηρεσιών του Ο.Δ.Α.Π.</w:t>
      </w:r>
    </w:p>
    <w:p>
      <w:pPr>
        <w:jc w:val="both"/>
      </w:pPr>
      <w:r>
        <w:rPr>
          <w:sz w:val="22"/>
          <w:szCs w:val="22"/>
        </w:rPr>
        <w:t xml:space="preserve"> </w:t>
      </w:r>
    </w:p>
    <w:p>
      <w:pPr>
        <w:jc w:val="both"/>
      </w:pPr>
      <w:r>
        <w:rPr>
          <w:sz w:val="22"/>
          <w:szCs w:val="22"/>
          <w:b w:val="1"/>
          <w:bCs w:val="1"/>
        </w:rPr>
        <w:t xml:space="preserve">Άρθρο 2</w:t>
      </w:r>
    </w:p>
    <w:p>
      <w:pPr>
        <w:jc w:val="both"/>
      </w:pPr>
      <w:r>
        <w:rPr>
          <w:sz w:val="22"/>
          <w:szCs w:val="22"/>
          <w:b w:val="1"/>
          <w:bCs w:val="1"/>
        </w:rPr>
        <w:t xml:space="preserve">Αντικείμενο</w:t>
      </w:r>
    </w:p>
    <w:p>
      <w:pPr>
        <w:jc w:val="both"/>
      </w:pPr>
      <w:r>
        <w:rPr>
          <w:sz w:val="22"/>
          <w:szCs w:val="22"/>
        </w:rPr>
        <w:t xml:space="preserve">Αντικείμενο του παρόντος Μέρους είναι η σύσταση, η οργάνωση και λειτουργία ανώνυμης εταιρείας με την επωνυμία «Οργανισμός Ανάπτυξης και Διαχείρισης Ελληνικής Πολιτιστικής Κληρονομιάς Α.Ε.», η οποία συνιστά τον βασικό εκτελεστικό και επιχειρησιακό βραχίονα του Ο.Δ.Α.Π., λειτουργεί στο όνομα και για λογαριασμό του και αποτελεί διοικητικά, οικονομικά και επιχειρησιακά αυτοτελή εξειδικευμένη αναπτυξιακή δομή που εποπτεύεται από τον Υπουργό Πολιτισμού.</w:t>
      </w:r>
    </w:p>
    <w:p>
      <w:pPr>
        <w:jc w:val="both"/>
      </w:pPr>
      <w:r>
        <w:rPr>
          <w:sz w:val="22"/>
          <w:szCs w:val="22"/>
        </w:rPr>
        <w:t xml:space="preserve"> </w:t>
      </w:r>
    </w:p>
    <w:p>
      <w:pPr>
        <w:jc w:val="both"/>
      </w:pPr>
      <w:r>
        <w:rPr>
          <w:sz w:val="22"/>
          <w:szCs w:val="22"/>
          <w:b w:val="1"/>
          <w:bCs w:val="1"/>
        </w:rPr>
        <w:t xml:space="preserve">Άρθρο 3</w:t>
      </w:r>
    </w:p>
    <w:p>
      <w:pPr>
        <w:jc w:val="both"/>
      </w:pPr>
      <w:r>
        <w:rPr>
          <w:sz w:val="22"/>
          <w:szCs w:val="22"/>
          <w:b w:val="1"/>
          <w:bCs w:val="1"/>
        </w:rPr>
        <w:t xml:space="preserve">Ορισμοί</w:t>
      </w:r>
    </w:p>
    <w:p>
      <w:pPr>
        <w:jc w:val="both"/>
      </w:pPr>
      <w:r>
        <w:rPr>
          <w:sz w:val="22"/>
          <w:szCs w:val="22"/>
        </w:rPr>
        <w:t xml:space="preserve">Για τους σκοπούς των Μερών Α΄ και Β’ εφαρμόζονται οι ακόλουθοι ορισμοί:</w:t>
      </w:r>
    </w:p>
    <w:p>
      <w:pPr>
        <w:jc w:val="both"/>
      </w:pPr>
      <w:r>
        <w:rPr>
          <w:sz w:val="22"/>
          <w:szCs w:val="22"/>
        </w:rPr>
        <w:t xml:space="preserve">α) Ακίνητη περιουσία: είναι το σύνολο των ακινήτων κυριότητας του Ο.Δ.Α.Π. και το σύνολο των ακινήτων κυριότητας ή διαχείρισης του Υπουργείου Πολιτισμού, η διαχείριση των οποίων έχει ανατεθεί στον Ο.Δ.Α.Π., συμπεριλαμβανομένων των αναψυκτηρίων και των πωλητηρίων που λειτουργούν για την εξυπηρέτηση των επισκεπτών.</w:t>
      </w:r>
    </w:p>
    <w:p>
      <w:pPr>
        <w:jc w:val="both"/>
      </w:pPr>
      <w:r>
        <w:rPr>
          <w:sz w:val="22"/>
          <w:szCs w:val="22"/>
        </w:rPr>
        <w:t xml:space="preserve">β) Ακριβές αντίγραφο: είναι το προϊόν που αναπαράγεται από το μοντέλο, φυσικό ή ψηφιακό, έχει τις ίδιες διαστάσεις, την ίδια πατίνα και αποτυπώνει με ακρίβεια όλες τις φθορές του πρωτοτύπου, ανεξαρτήτως υλικού παραγωγής.</w:t>
      </w:r>
    </w:p>
    <w:p>
      <w:pPr>
        <w:jc w:val="both"/>
      </w:pPr>
      <w:r>
        <w:rPr>
          <w:sz w:val="22"/>
          <w:szCs w:val="22"/>
        </w:rPr>
        <w:t xml:space="preserve">γ) Αντίγραφο: είναι το προϊόν που αναπαράγεται από το μοντέλο, φυσικό ή ψηφιακό, και διαφοροποιείται από το πρωτότυπο ως προς τις διαστάσεις ή την πατίνα.</w:t>
      </w:r>
    </w:p>
    <w:p>
      <w:pPr>
        <w:jc w:val="both"/>
      </w:pPr>
      <w:r>
        <w:rPr>
          <w:sz w:val="22"/>
          <w:szCs w:val="22"/>
        </w:rPr>
        <w:t xml:space="preserve">δ) Διαδικτυακή ψηφιακή πύλη «www.hellenicheritage.gr» (hh.gr): είναι η διαδικτυακή ψηφιακή πύλη κυριότητας του Ο.Δ.Α.Π., η οποία περιλαμβάνει αρχαιολογικούς χώρους, ιστορικούς τόπους, μνημεία και μουσεία της χώρας και εξυπηρετεί τη διάθεση, προβολή και διάχυση δεδομένων και πληροφοριών, προϊόντων και υπηρεσιών προς άλλους χρήστες.</w:t>
      </w:r>
    </w:p>
    <w:p>
      <w:pPr>
        <w:jc w:val="both"/>
      </w:pPr>
      <w:r>
        <w:rPr>
          <w:sz w:val="22"/>
          <w:szCs w:val="22"/>
        </w:rPr>
        <w:t xml:space="preserve">ε) Εμπνευσμένα προϊόντα: είναι τα πάσης φύσεως χρηστικά ή διακοσμητικά αντικείμενα από τη θεματολογία των αρχαιολογικών χώρων, των μουσείων και των περιοδικών εκθέσεων, τα οποία κατασκευάζονται με προορισμό να πωλούνται στα πωλητήρια των αρχαιολογικών χώρων, ιστορικών τόπων, μνημείων και μουσείων ή σε άλλα σημεία πώλησης που η εταιρεία του άρθρου 4 επιλέγει εντός ή εκτός της ελληνικής επικράτειας και τα οποία δεν αποτελούν ακριβή αντίγραφα των πρωτοτύπων, αλλά σύγχρονα δημιουργήματα που αντλούν αισθητικά και θεματικά στοιχεία από τα πρωτότυπα, έχουν σχεδιαστεί με έμπνευση από αρχαία ή νεότερα έργα τέχνης, εκθέματα μουσείων, μνημεία ή θέματα της ελληνικής πολιτιστικής κληρονομιάς και φέρουν τη σφραγίδα Hellenic Heritage.</w:t>
      </w:r>
    </w:p>
    <w:p>
      <w:pPr>
        <w:jc w:val="both"/>
      </w:pPr>
      <w:r>
        <w:rPr>
          <w:sz w:val="22"/>
          <w:szCs w:val="22"/>
        </w:rPr>
        <w:t xml:space="preserve">στ) Ενιαία οπτική ταυτότητα Hellenic Heritage: είναι το σύνολο των διακριτικών γνωρισμάτων, οπτικών, επικοινωνιακών, ψηφιακών και λειτουργικών στοιχείων που προσδίδουν ενιαίο χαρακτήρα στην παρουσίαση αρχαιολογικών χώρων, ιστορικών τόπων, μνημείων και μουσείων, περιλαμβανομένων ιδίως του σήματος, της τυπογραφίας, της χρωματικής παλέτας, των προτύπων σήμανσης, των ψηφιακών διεπαφών και πλατφορμών και κάθε άλλου στοιχείου που καθορίζεται από την εταιρεία του άρθρου 4, η οποία αντικαθιστά υποχρεωτικά κάθε τυχόν υφιστάμενο στοιχείο σήμανσης ή λογότυπο των περιφερειακών υπηρεσιών της Γενικής Διεύθυνσης Αρχαιοτήτων και Πολιτιστικής Κληρονομιάς της Γενικής Γραμματείας Πολιτισμού του Υπουργείου Πολιτισμού.</w:t>
      </w:r>
    </w:p>
    <w:p>
      <w:pPr>
        <w:jc w:val="both"/>
      </w:pPr>
      <w:r>
        <w:rPr>
          <w:sz w:val="22"/>
          <w:szCs w:val="22"/>
        </w:rPr>
        <w:t xml:space="preserve">ζ) Ενιαίο ψηφιακό εισιτήριο «Hellenic Heritage Pass»: είναι το ψηφιακό εισιτήριο που εκδίδεται από τη διαδικτυακή ψηφιακή πύλη hh.gr μέσω του υποσυστήματος ηλεκτρονικού εισιτηρίου, παρέχει στον κάτοχό του δικαίωμα πρόσβασης σε δύο ή περισσότερους (2) αρχαιολογικούς χώρους, ιστορικούς τόπους, μνημεία και μουσεία εντός καθορισμένης χρονικής διάρκειας ισχύος, διακρίνεται σε διάφορους τύπους, όπως τοπικό ή διαδρομών, οικογενειακό και θεματικό, και δύναται να συνδυάζει και προϊόντα ή υπηρεσίες τρίτων φορέων.</w:t>
      </w:r>
    </w:p>
    <w:p>
      <w:pPr>
        <w:jc w:val="both"/>
      </w:pPr>
      <w:r>
        <w:rPr>
          <w:sz w:val="22"/>
          <w:szCs w:val="22"/>
        </w:rPr>
        <w:t xml:space="preserve">η) Κατηγορίες επισκεψιμότητας αρχαιολογικών χώρων, ιστορικών τόπων, μουσείων και μνημείων: είναι οι κατηγορίες Α, Β, Γ, Δ και Ε, στις οποίες κατατάσσονται οι ανωτέρω χώροι με βάση την επισκεψιμότητά τους σύμφωνα με τα στοιχεία της Ελληνικής Στατιστικής Αρχής.</w:t>
      </w:r>
    </w:p>
    <w:p>
      <w:pPr>
        <w:jc w:val="both"/>
      </w:pPr>
      <w:r>
        <w:rPr>
          <w:sz w:val="22"/>
          <w:szCs w:val="22"/>
        </w:rPr>
        <w:t xml:space="preserve">ηα) Κατηγορία επισκεψιμότητας Α: είναι η Ακρόπολη Αθηνών.</w:t>
      </w:r>
    </w:p>
    <w:p>
      <w:pPr>
        <w:jc w:val="both"/>
      </w:pPr>
      <w:r>
        <w:rPr>
          <w:sz w:val="22"/>
          <w:szCs w:val="22"/>
        </w:rPr>
        <w:t xml:space="preserve">ηβ) Κατηγορία επισκεψιμότητας Β: είναι οι αρχαιολογικοί χώροι, ιστορικοί τόποι, μουσεία και μνημεία με αριθμό επισκεπτών πάνω από διακόσιες χιλιάδες (200.000) ετησίως.</w:t>
      </w:r>
    </w:p>
    <w:p>
      <w:pPr>
        <w:jc w:val="both"/>
      </w:pPr>
      <w:r>
        <w:rPr>
          <w:sz w:val="22"/>
          <w:szCs w:val="22"/>
        </w:rPr>
        <w:t xml:space="preserve">ηγ) Κατηγορία επισκεψιμότητας Γ: είναι οι αρχαιολογικοί χώροι, ιστορικοί τόποι, μουσεία και μνημεία με αριθμό επισκεπτών από εβδομήντα πέντε χιλιάδες (75.000) έως διακόσιες χιλιάδες (200.000) επισκέπτες ετησίως.</w:t>
      </w:r>
    </w:p>
    <w:p>
      <w:pPr>
        <w:jc w:val="both"/>
      </w:pPr>
      <w:r>
        <w:rPr>
          <w:sz w:val="22"/>
          <w:szCs w:val="22"/>
        </w:rPr>
        <w:t xml:space="preserve">ηδ) Κατηγορία επισκεψιμότητας Δ: είναι οι αρχαιολογικοί χώροι, ιστορικοί τόποι, μουσεία και μνημεία με αριθμό επισκεπτών από δεκαπέντε χιλιάδες (15.000) έως εβδομήντα πέντε χιλιάδες (75.000) ετησίως.</w:t>
      </w:r>
    </w:p>
    <w:p>
      <w:pPr>
        <w:jc w:val="both"/>
      </w:pPr>
      <w:r>
        <w:rPr>
          <w:sz w:val="22"/>
          <w:szCs w:val="22"/>
        </w:rPr>
        <w:t xml:space="preserve">ηε) Κατηγορία επισκεψιμότητας Ε: είναι οι αρχαιολογικοί χώροι, ιστορικοί τόποι, μουσεία και μνημεία με αριθμό επισκεπτών μικρότερο από δεκαπέντε χιλιάδες (15.000) ετησίως.</w:t>
      </w:r>
    </w:p>
    <w:p>
      <w:pPr>
        <w:jc w:val="both"/>
      </w:pPr>
      <w:r>
        <w:rPr>
          <w:sz w:val="22"/>
          <w:szCs w:val="22"/>
        </w:rPr>
        <w:t xml:space="preserve">θ) Κίνητρα για την ενίσχυση της επισκεψιμότητας σε αρχαιολογικούς χώρους, ιστορικούς τόπους, μουσεία και μνημεία των κατηγοριών Γ, Δ και Ε επισκεψιμότητας: είναι οι διατακτικές (vouchers) και άλλα μέτρα εμπορικής πολιτικής τα οποία αποσκοπούν στην αύξηση του αριθμού των επισκεπτών και στην ενίσχυση των εσόδων του Ο.Δ.Α.Π.</w:t>
      </w:r>
    </w:p>
    <w:p>
      <w:pPr>
        <w:jc w:val="both"/>
      </w:pPr>
      <w:r>
        <w:rPr>
          <w:sz w:val="22"/>
          <w:szCs w:val="22"/>
        </w:rPr>
        <w:t xml:space="preserve">ι) Λειτουργικές δαπάνες: είναι οι τακτικές ή επαναλαμβανόμενες δαπάνες που απαιτούνται για την ομαλή, εύρυθμη και αποδοτική λειτουργία της Εταιρείας του άρθρου 4, στις οποίες περιλαμβάνονται οι μισθοί, τα επιδόματα, οι αποζημιώσεις και κάθε είδους αμοιβές ή αντιμισθίες του προσωπικού της, οι αποδοχές των μελών του Δ.Σ., τα μισθώματα και οι λογαριασμοί κοινής ωφέλειας ενώ δεν περιλαμβάνονται οι επενδυτικές δαπάνες ή οι δαπάνες κεφαλαίου.</w:t>
      </w:r>
    </w:p>
    <w:p>
      <w:pPr>
        <w:jc w:val="both"/>
      </w:pPr>
      <w:r>
        <w:rPr>
          <w:sz w:val="22"/>
          <w:szCs w:val="22"/>
        </w:rPr>
        <w:t xml:space="preserve">ια) Μήτρα: είναι το προϊόν της διαδικασίας παραγωγής εκμαγείων το οποίο παράγεται από το πρωτότυπο κινητό μνημείο συλλογών του Υπουργείου Πολιτισμού και των εποπτευόμενων φορέων του, χρησιμοποιείται για την παραγωγή μοντέλων και φυλάσσεται στα εργαστήρια του Ο.Δ.Α.Π.</w:t>
      </w:r>
    </w:p>
    <w:p>
      <w:pPr>
        <w:jc w:val="both"/>
      </w:pPr>
      <w:r>
        <w:rPr>
          <w:sz w:val="22"/>
          <w:szCs w:val="22"/>
        </w:rPr>
        <w:t xml:space="preserve">ιβ) Μοντέλο: είναι το τηρούμενο στα εργαστήρια του Ο.Δ.Α.Π. πρότυπο προϊόν, κυριότητας του Ο.Δ.Α.Π., που αναπαράγεται από τη μήτρα, φέρει τις ίδιες διαστάσεις και την ίδια πατίνα με το πρωτότυπο, αποτυπώνει με ακρίβεια όλες τις φθορές του και χρησιμοποιείται για την αναπαραγωγή πιστοποιημένων ακριβών αντιγράφων ή αντιγράφων.</w:t>
      </w:r>
    </w:p>
    <w:p>
      <w:pPr>
        <w:jc w:val="both"/>
      </w:pPr>
      <w:r>
        <w:rPr>
          <w:sz w:val="22"/>
          <w:szCs w:val="22"/>
        </w:rPr>
        <w:t xml:space="preserve">ιγ) Παγία προκαταβολή: είναι το σταθερό ποσό μετρητών που τηρείται ανά εκδοτήριο αρχαιολογικού χώρου, ιστορικού τόπου, μνημείου ή μουσείου, το οποίο εξυπηρετεί τις συναλλαγές σε μετρητά. Το ύψος του ορίζεται με απόφαση του Δ.Σ. της Εταιρείας μετά από εισήγηση του Διευθύνοντος Συμβούλου, με βάση την επισκεψιμότητα, τον αριθμό των εκδοτηρίων και τον αριθμό των ταμείων των ανωτέρω χώρων, και δεν μπορεί να υπερβαίνει ημερησίως τα πεντακόσια (500) ευρώ ανά εκδοτήριο αρχαιολογικού χώρου, ιστορικού τόπου, μνημείου ή μουσείου.</w:t>
      </w:r>
    </w:p>
    <w:p>
      <w:pPr>
        <w:jc w:val="both"/>
      </w:pPr>
      <w:r>
        <w:rPr>
          <w:sz w:val="22"/>
          <w:szCs w:val="22"/>
        </w:rPr>
        <w:t xml:space="preserve">ιδ) Περιφερειακός εξοπλισμός: είναι ο υλικοτεχνικός και ψηφιακός εξοπλισμός, καθώς και το λογισμικό, που χρησιμοποιούνται για τον εκσυγχρονισμό και τη λειτουργία των εκδοτηρίων εισιτηρίων αρχαιολογικών χώρων, ιστορικών τόπων, μνημείων και μουσείων, καθώς και του συστήματος ηλεκτρονικού εισιτηρίου.</w:t>
      </w:r>
    </w:p>
    <w:p>
      <w:pPr>
        <w:jc w:val="both"/>
      </w:pPr>
      <w:r>
        <w:rPr>
          <w:sz w:val="22"/>
          <w:szCs w:val="22"/>
        </w:rPr>
        <w:t xml:space="preserve">ιε) Πιστοποιημένα ακριβή αντίγραφα ή αντίγραφα: είναι τα ακριβή αντίγραφα ή τα αντίγραφα που φέρουν τη σφραγίδα Hellenic Heritage και συνοδεύονται από ταυτότητα εύρεσης ή καταγραφής του Υπουργείου Πολιτισμού.</w:t>
      </w:r>
    </w:p>
    <w:p>
      <w:pPr>
        <w:jc w:val="both"/>
      </w:pPr>
      <w:r>
        <w:rPr>
          <w:sz w:val="22"/>
          <w:szCs w:val="22"/>
        </w:rPr>
        <w:t xml:space="preserve">ιστ) Πρόγραμμα μελών «Hellenic Heritage Member Card»: είναι το πρόγραμμα, το οποίο λειτουργεί μέσω της διαδικτυακής ψηφιακής πύλης hh.gr, αποσκοπεί στην ενίσχυση της σχέσης του κοινού με τους αρχαιολογικούς χώρους, τους ιστορικούς τόπους, τα μνημεία και τα μουσεία της χώρας και παρέχει σε φυσικά πρόσωπα τη δυνατότητα δωρεάν εγγραφής ως μελών, απόκτησης ειδικής ψηφιακής κάρτας, πρόσβασης σε κίνητρα, εξατομικευμένες υπηρεσίες και ενημερώσεις, καθώς και συμμετοχής σε πολιτιστικές ή εκπαιδευτικές δράσεις.</w:t>
      </w:r>
    </w:p>
    <w:p>
      <w:pPr>
        <w:jc w:val="both"/>
      </w:pPr>
      <w:r>
        <w:rPr>
          <w:sz w:val="22"/>
          <w:szCs w:val="22"/>
        </w:rPr>
        <w:t xml:space="preserve">ιζ) Προϊόντα της αγροδιατροφικής αλυσίδας Hellenic Heritage: είναι όλα τα προϊόντα που χρησιμοποιούν πρώτη ύλη από τη χλωρίδα των αρχαιολογικών χώρων και άλλων απαλλοτριωμένων εκτάσεων των Εφορειών Αρχαιοτήτων της Γενικής Διεύθυνσης Πολιτιστικής Κληρονομιάς της Γενικής Γραμματείας Πολιτισμού του Υπουργείου Πολιτισμού και κατασκευάζονται με προορισμό να πωλούνται στα πωλητήρια των αρχαιολογικών χώρων, ιστορικών τόπων, μνημείων και μουσείων ή σε άλλα σημεία που η Εταιρεία του άρθρου 4 επιλέγει εντός ή εκτός της ελληνικής επικράτειας και φέρουν τη σφραγίδα Hellenic Heritage.</w:t>
      </w:r>
    </w:p>
    <w:p>
      <w:pPr>
        <w:jc w:val="both"/>
      </w:pPr>
      <w:r>
        <w:rPr>
          <w:sz w:val="22"/>
          <w:szCs w:val="22"/>
        </w:rPr>
        <w:t xml:space="preserve">ιη) Ψηφιακά έργα: είναι τα έργα που υλοποιούνται από την Εταιρεία του άρθρου 4, σύμφωνα με όσα ορίζονται στα άρθρα 5 και 6, ή ανατίθενται σε αυτήν από το Υπουργείο Πολιτισμού ή τον Ο.Δ.Α.Π., με σκοπό την ψηφιακή ανάδειξη και την προβολή της πολιτιστικής κληρονομιάς, υλικής και άυλης, και της εμπνευσμένης από αυτήν καλλιτεχνικής δημιουργίας.</w:t>
      </w:r>
    </w:p>
    <w:p>
      <w:pPr>
        <w:jc w:val="both"/>
      </w:pPr>
      <w:r>
        <w:rPr>
          <w:sz w:val="22"/>
          <w:szCs w:val="22"/>
        </w:rPr>
        <w:t xml:space="preserve">ιθ) Ψηφιακός βοηθός: είναι η εφαρμογή λογισμικού που υποστηρίζει τους χρήστες στην αναζήτηση πληροφοριών σχετικά με το περιεχόμενο, τα προϊόντα και τις υπηρεσίες της διαδικτυακής ψηφιακής πύλης hh.gr.</w:t>
      </w:r>
    </w:p>
    <w:p>
      <w:pPr>
        <w:jc w:val="both"/>
      </w:pPr>
      <w:r>
        <w:rPr>
          <w:sz w:val="22"/>
          <w:szCs w:val="22"/>
        </w:rPr>
        <w:t xml:space="preserve">κ) Ψηφιακό μοντέλο: είναι το φυλασσόμενο στο ψηφιακό αποθετήριο του Ο.Δ.Α.Π. πρότυπο ψηφιακό προϊόν, κυριότητας του Ο.Δ.Α.Π., που αναπαράγεται με τη μέθοδο της τρισδιάστατης σάρωσης από πρωτότυπο κινητό μνημείο των συλλογών του Υπουργείου Πολιτισμού ή των εποπτευόμενων φορέων του ή από πρωτότυπο ακίνητο μνημείο, φέρει τις ίδιες διαστάσεις, αποτυπώνει με ακρίβεια την πατίνα και τις φθορές του πρωτοτύπου και χρησιμοποιείται για την αναπαραγωγή ακριβών αντιγράφων ή αντιγράφων με τη μέθοδο της τρισδιάστατης εκτύπωσης, για τη δημιουργία ολογραμμάτων ή με άλλες ψηφιακές μεθόδους.</w:t>
      </w:r>
    </w:p>
    <w:p>
      <w:pPr>
        <w:jc w:val="both"/>
      </w:pPr>
      <w:r>
        <w:rPr>
          <w:sz w:val="22"/>
          <w:szCs w:val="22"/>
        </w:rPr>
        <w:t xml:space="preserve"> </w:t>
      </w:r>
    </w:p>
    <w:p>
      <w:pPr>
        <w:jc w:val="both"/>
      </w:pPr>
      <w:r>
        <w:rPr>
          <w:sz w:val="22"/>
          <w:szCs w:val="22"/>
          <w:b w:val="1"/>
          <w:bCs w:val="1"/>
        </w:rPr>
        <w:t xml:space="preserve">ΚΕΦΑΛΑΙΟ </w:t>
      </w:r>
      <w:r>
        <w:rPr>
          <w:sz w:val="22"/>
          <w:szCs w:val="22"/>
          <w:b w:val="1"/>
          <w:bCs w:val="1"/>
        </w:rPr>
        <w:t xml:space="preserve">Β’</w:t>
      </w:r>
    </w:p>
    <w:p>
      <w:pPr>
        <w:jc w:val="both"/>
      </w:pPr>
      <w:r>
        <w:rPr>
          <w:sz w:val="22"/>
          <w:szCs w:val="22"/>
          <w:b w:val="1"/>
          <w:bCs w:val="1"/>
        </w:rPr>
        <w:t xml:space="preserve"> ΣΥΣΤΑΣΗ ΑΝΩΝΥΜΗΣ ΕΤΑΙΡΕΙΑΣ ΜΕ ΤΗΝ ΕΠΩΝΥΜΙΑ «ΟΡΓΑΝΙΣΜΟΣ ΑΝΑΠΤΥΞΗΣ ΚΑΙ ΔΙΑΧΕΙΡΙΣΗΣ ΕΛΛΗΝΙΚΗΣ ΠΟΛΙΤΙΣΤΙΚΗΣ ΚΛΗΡΟΝΟΜΙΑΣ Α.Ε.» (</w:t>
      </w:r>
      <w:r>
        <w:rPr>
          <w:sz w:val="22"/>
          <w:szCs w:val="22"/>
          <w:b w:val="1"/>
          <w:bCs w:val="1"/>
        </w:rPr>
        <w:t xml:space="preserve">HELLENIC</w:t>
      </w:r>
      <w:r>
        <w:rPr>
          <w:sz w:val="22"/>
          <w:szCs w:val="22"/>
        </w:rPr>
        <w:t xml:space="preserve"> </w:t>
      </w:r>
      <w:r>
        <w:rPr>
          <w:sz w:val="22"/>
          <w:szCs w:val="22"/>
          <w:b w:val="1"/>
          <w:bCs w:val="1"/>
        </w:rPr>
        <w:t xml:space="preserve">HERITAGE</w:t>
      </w:r>
      <w:r>
        <w:rPr>
          <w:sz w:val="22"/>
          <w:szCs w:val="22"/>
        </w:rPr>
        <w:t xml:space="preserve"> </w:t>
      </w:r>
      <w:r>
        <w:rPr>
          <w:sz w:val="22"/>
          <w:szCs w:val="22"/>
          <w:b w:val="1"/>
          <w:bCs w:val="1"/>
        </w:rPr>
        <w:t xml:space="preserve">ORGANISATION</w:t>
      </w:r>
      <w:r>
        <w:rPr>
          <w:sz w:val="22"/>
          <w:szCs w:val="22"/>
        </w:rPr>
        <w:t xml:space="preserve"> </w:t>
      </w:r>
      <w:r>
        <w:rPr>
          <w:sz w:val="22"/>
          <w:szCs w:val="22"/>
          <w:b w:val="1"/>
          <w:bCs w:val="1"/>
        </w:rPr>
        <w:t xml:space="preserve">SA</w:t>
      </w:r>
      <w:r>
        <w:rPr>
          <w:sz w:val="22"/>
          <w:szCs w:val="22"/>
          <w:b w:val="1"/>
          <w:bCs w:val="1"/>
        </w:rPr>
        <w:t xml:space="preserve">) </w:t>
      </w:r>
      <w:r>
        <w:rPr>
          <w:sz w:val="22"/>
          <w:szCs w:val="22"/>
          <w:b w:val="1"/>
          <w:bCs w:val="1"/>
        </w:rPr>
        <w:t xml:space="preserve">ΚΑΙ</w:t>
      </w:r>
      <w:r>
        <w:rPr>
          <w:sz w:val="22"/>
          <w:szCs w:val="22"/>
        </w:rPr>
        <w:t xml:space="preserve"> </w:t>
      </w:r>
      <w:r>
        <w:rPr>
          <w:sz w:val="22"/>
          <w:szCs w:val="22"/>
          <w:b w:val="1"/>
          <w:bCs w:val="1"/>
        </w:rPr>
        <w:t xml:space="preserve">ΔΙΑΚΡΙΤΙΚΟ ΤΙΤΛΟ </w:t>
      </w:r>
      <w:r>
        <w:rPr>
          <w:sz w:val="22"/>
          <w:szCs w:val="22"/>
          <w:b w:val="1"/>
          <w:bCs w:val="1"/>
        </w:rPr>
        <w:t xml:space="preserve">«</w:t>
      </w:r>
      <w:r>
        <w:rPr>
          <w:sz w:val="22"/>
          <w:szCs w:val="22"/>
          <w:b w:val="1"/>
          <w:bCs w:val="1"/>
        </w:rPr>
        <w:t xml:space="preserve">HELLENIC</w:t>
      </w:r>
      <w:r>
        <w:rPr>
          <w:sz w:val="22"/>
          <w:szCs w:val="22"/>
        </w:rPr>
        <w:t xml:space="preserve"> </w:t>
      </w:r>
      <w:r>
        <w:rPr>
          <w:sz w:val="22"/>
          <w:szCs w:val="22"/>
          <w:b w:val="1"/>
          <w:bCs w:val="1"/>
        </w:rPr>
        <w:t xml:space="preserve">HERITAGE</w:t>
      </w:r>
      <w:r>
        <w:rPr>
          <w:sz w:val="22"/>
          <w:szCs w:val="22"/>
          <w:b w:val="1"/>
          <w:bCs w:val="1"/>
        </w:rPr>
        <w:t xml:space="preserve">» – ΚΑΤΑΣΤΑΤΙΚΟ ΤΗΣ ΕΤΑΙΡΕΙΑΣ</w:t>
      </w:r>
    </w:p>
    <w:p>
      <w:pPr>
        <w:jc w:val="both"/>
      </w:pPr>
      <w:r>
        <w:rPr>
          <w:sz w:val="22"/>
          <w:szCs w:val="22"/>
          <w:b w:val="1"/>
          <w:bCs w:val="1"/>
        </w:rPr>
        <w:t xml:space="preserve"> </w:t>
      </w:r>
    </w:p>
    <w:p>
      <w:pPr>
        <w:jc w:val="both"/>
      </w:pPr>
      <w:r>
        <w:rPr>
          <w:sz w:val="22"/>
          <w:szCs w:val="22"/>
          <w:b w:val="1"/>
          <w:bCs w:val="1"/>
        </w:rPr>
        <w:t xml:space="preserve">Άρθρο 4</w:t>
      </w:r>
    </w:p>
    <w:p>
      <w:pPr>
        <w:jc w:val="both"/>
      </w:pPr>
      <w:r>
        <w:rPr>
          <w:sz w:val="22"/>
          <w:szCs w:val="22"/>
          <w:b w:val="1"/>
          <w:bCs w:val="1"/>
        </w:rPr>
        <w:t xml:space="preserve">Σύσταση – Κανόνες λειτουργίας</w:t>
      </w:r>
    </w:p>
    <w:p>
      <w:pPr>
        <w:numPr>
          <w:ilvl w:val="0"/>
          <w:numId w:val="1"/>
        </w:numPr>
      </w:pPr>
      <w:r>
        <w:rPr>
          <w:sz w:val="22"/>
          <w:szCs w:val="22"/>
        </w:rPr>
        <w:t xml:space="preserve">Συστήνεται από το Ελληνικό Δημόσιο και τον Ο.Δ.Α.Π. του άρθρου 1 του ν. 4761/2020 (Α’ 248) νομικό πρόσωπο ιδιωτικού δικαίου υπό τη μορφή ανώνυμης εταιρείας, με την επωνυμία «Οργανισμός Ανάπτυξης και Διαχείρισης Ελληνικής Πολιτιστικής Κληρονομιάς Α.Ε.» και διακριτικό τίτλο «Hellenic Heritage» (εφεξής η Εταιρεία). Στην αγγλική γλώσσα η επωνυμία της Εταιρείας είναι «Hellenic Heritage Organisation S.A.».</w:t>
      </w:r>
    </w:p>
    <w:p>
      <w:pPr>
        <w:numPr>
          <w:ilvl w:val="0"/>
          <w:numId w:val="1"/>
        </w:numPr>
      </w:pPr>
      <w:r>
        <w:rPr>
          <w:sz w:val="22"/>
          <w:szCs w:val="22"/>
        </w:rPr>
        <w:t xml:space="preserve">Η Εταιρεία εποπτεύεται από τον Υπουργό Πολιτισμού, λειτουργεί χάριν του δημοσίου συμφέροντος, διαθέτει διοικητική και οικονομική αυτοτέλεια και απολαμβάνει των διοικητικών και δικαστικών απαλλαγών και ατελειών, καθώς και των δικονομικών και ουσιαστικών προνομίων του Δημοσίου. Ως προς τον φόρο προστιθέμενης αξίας (Φ.Π.Α.), εφαρμόζεται ο Κώδικας Φόρου Προστιθέμενης Αξίας (ν. 5144/2024, Α’ 162).</w:t>
      </w:r>
    </w:p>
    <w:p>
      <w:pPr>
        <w:numPr>
          <w:ilvl w:val="0"/>
          <w:numId w:val="1"/>
        </w:numPr>
      </w:pPr>
      <w:r>
        <w:rPr>
          <w:sz w:val="22"/>
          <w:szCs w:val="22"/>
        </w:rPr>
        <w:t xml:space="preserve">Η Εταιρεία διέπεται από τον παρόντα νόμο, τον ν. 4972/2022 (Α’ 181), περί εταιρικής διακυβέρνησης των ανωνύμων εταιρειών του Δημοσίου, τον ν. 4548/2018 (Α’ 104), περί αναμόρφωσης του δικαίου των ανώνυμων εταιρειών και το καταστατικό της.</w:t>
      </w:r>
    </w:p>
    <w:p>
      <w:pPr>
        <w:numPr>
          <w:ilvl w:val="0"/>
          <w:numId w:val="1"/>
        </w:numPr>
      </w:pPr>
      <w:r>
        <w:rPr>
          <w:sz w:val="22"/>
          <w:szCs w:val="22"/>
        </w:rPr>
        <w:t xml:space="preserve">Η έδρα της Εταιρείας είναι η Αθήνα. Με απόφαση της Γενικής Συνέλευσης της Εταιρείας, η έδρα της μπορεί να μεταφέρεται.</w:t>
      </w:r>
    </w:p>
    <w:p>
      <w:pPr>
        <w:numPr>
          <w:ilvl w:val="0"/>
          <w:numId w:val="1"/>
        </w:numPr>
      </w:pPr>
      <w:r>
        <w:rPr>
          <w:sz w:val="22"/>
          <w:szCs w:val="22"/>
        </w:rPr>
        <w:t xml:space="preserve">Η διάρκεια της Εταιρείας ορίζεται σε πενήντα (50) έτη, αρχίζει από την έναρξη ισχύος του παρόντος και δύναται να παραταθεί με απόφαση της Γενικής Συνέλευσης της Εταιρείας, σύμφωνα με την παρ. 1 του άρθρου 25.</w:t>
      </w:r>
    </w:p>
    <w:p>
      <w:pPr>
        <w:numPr>
          <w:ilvl w:val="0"/>
          <w:numId w:val="1"/>
        </w:numPr>
      </w:pPr>
      <w:r>
        <w:rPr>
          <w:sz w:val="22"/>
          <w:szCs w:val="22"/>
        </w:rPr>
        <w:t xml:space="preserve">Το παρόν άρθρο και τα άρθρα 5 έως 24 ισχύουν ως το καταστατικό της Εταιρείας.</w:t>
      </w:r>
    </w:p>
    <w:p>
      <w:pPr>
        <w:jc w:val="both"/>
      </w:pPr>
      <w:r>
        <w:rPr>
          <w:sz w:val="22"/>
          <w:szCs w:val="22"/>
        </w:rPr>
        <w:t xml:space="preserve"> </w:t>
      </w:r>
    </w:p>
    <w:p>
      <w:pPr>
        <w:jc w:val="both"/>
      </w:pPr>
      <w:r>
        <w:rPr>
          <w:sz w:val="22"/>
          <w:szCs w:val="22"/>
          <w:b w:val="1"/>
          <w:bCs w:val="1"/>
        </w:rPr>
        <w:t xml:space="preserve">Άρθρο 5</w:t>
      </w:r>
    </w:p>
    <w:p>
      <w:pPr>
        <w:jc w:val="both"/>
      </w:pPr>
      <w:r>
        <w:rPr>
          <w:sz w:val="22"/>
          <w:szCs w:val="22"/>
          <w:b w:val="1"/>
          <w:bCs w:val="1"/>
        </w:rPr>
        <w:t xml:space="preserve">Αποστολή</w:t>
      </w:r>
    </w:p>
    <w:p>
      <w:pPr>
        <w:jc w:val="both"/>
      </w:pPr>
      <w:r>
        <w:rPr>
          <w:sz w:val="22"/>
          <w:szCs w:val="22"/>
        </w:rPr>
        <w:t xml:space="preserve">Αποστολή της Εταιρείας είναι:</w:t>
      </w:r>
    </w:p>
    <w:p>
      <w:pPr>
        <w:jc w:val="both"/>
      </w:pPr>
      <w:r>
        <w:rPr>
          <w:sz w:val="22"/>
          <w:szCs w:val="22"/>
        </w:rPr>
        <w:t xml:space="preserve">α) η διαχείριση, η λειτουργία, η χρήση, η συντήρηση, η διαρκής ανάπτυξη και η αναβάθμιση των έργων, των συστημάτων και των εφαρμογών Τεχνολογίας Πληροφορικής και Επικοινωνιών (Τ.Π.Ε.) του Ο.Δ.Α.Π. ή του Υπουργείου Πολιτισμού, των οποίων η διαχείριση έχει ανατεθεί στον Ο.Δ.Α.Π., καθώς και ο σχεδιασμός και η υλοποίηση νέων έργων, συστημάτων και εφαρμογών Τ.Π.Ε., με σκοπό τη διαρκή προσαρμογή στις νέες τεχνολογίες και τη χρήση της τεχνητής νοημοσύνης για την περαιτέρω βελτίωση της ποιότητας των παρεχόμενων υπηρεσιών στους επισκέπτες αρχαιολογικών χώρων, ιστορικών τόπων, μνημείων και μουσείων,</w:t>
      </w:r>
    </w:p>
    <w:p>
      <w:pPr>
        <w:jc w:val="both"/>
      </w:pPr>
      <w:r>
        <w:rPr>
          <w:sz w:val="22"/>
          <w:szCs w:val="22"/>
        </w:rPr>
        <w:t xml:space="preserve">β) η διαχείριση, η λειτουργία, η χρήση, η συντήρηση, η διαρκής ανάπτυξη και η αναβάθμιση της διαδικτυακής ψηφιακής πύλης hh.gr και της πλατφόρμας της, με σκοπό τη διαμόρφωση και τη διατήρηση:</w:t>
      </w:r>
    </w:p>
    <w:p>
      <w:pPr>
        <w:jc w:val="both"/>
      </w:pPr>
      <w:r>
        <w:rPr>
          <w:sz w:val="22"/>
          <w:szCs w:val="22"/>
        </w:rPr>
        <w:t xml:space="preserve">βα) ενιαίας ταυτότητας αρχαιολογικών χώρων, ιστορικών τόπων, μνημείων και μουσείων και</w:t>
      </w:r>
    </w:p>
    <w:p>
      <w:pPr>
        <w:jc w:val="both"/>
      </w:pPr>
      <w:r>
        <w:rPr>
          <w:sz w:val="22"/>
          <w:szCs w:val="22"/>
        </w:rPr>
        <w:t xml:space="preserve">ββ) ολοκληρωμένης ψηφιακής στρατηγικής για την προβολή, προώθηση και ανάδειξη του ελληνικού πολιτισμού στο εσωτερικό και στο εξωτερικό, τη διαρκή ανάπτυξη νέων καινοτόμων πολιτιστικών προϊόντων και εξατομικευμένων υπηρεσιών, καθώς και την επίτευξη της διαλειτουργικότητάς τους,</w:t>
      </w:r>
    </w:p>
    <w:p>
      <w:pPr>
        <w:jc w:val="both"/>
      </w:pPr>
      <w:r>
        <w:rPr>
          <w:sz w:val="22"/>
          <w:szCs w:val="22"/>
        </w:rPr>
        <w:t xml:space="preserve">γ) η δημιουργία, η ανάπτυξη, η διαχείριση, η χρήση και η λειτουργία συστημάτων ηλεκτρονικών αγορών και πληρωμών εισιτηρίων εισόδου και άλλων υπηρεσιών προς τους επισκέπτες σε αρχαιολογικούς χώρους, ιστορικούς τόπους, μνημεία και μουσεία, καθώς και η διάθεση προϊόντων, φωτογραφιών, ηλεκτρονικών εκδόσεων και άλλων ψηφιακών εφαρμογών που απευθύνονται στο κοινό και σε χρήστες συνεργάτες του συστήματος ηλεκτρονικού εισιτηρίου,</w:t>
      </w:r>
    </w:p>
    <w:p>
      <w:pPr>
        <w:jc w:val="both"/>
      </w:pPr>
      <w:r>
        <w:rPr>
          <w:sz w:val="22"/>
          <w:szCs w:val="22"/>
        </w:rPr>
        <w:t xml:space="preserve">δ) η ίδρυση, η διαχείριση, η λειτουργία και η αναβάθμιση διαδικτυακών πωλητηρίων, καθώς και η συνεργασία με καταστήματα τρίτων ή άλλα εμπορικά δίκτυα πωλήσεων, με σκοπό τη διάθεση στο κοινό ακριβών αντιγράφων κυριότητας του Ο.Δ.Α.Π., εμπνευσμένων προϊόντων και εφαρμογών, καλλιτεχνημάτων, έργων τέχνης, ψηφιακών εφαρμογών, εν γένει πολιτιστικών δημιουργημάτων, καθώς και τυποποιημένων και πιστοποιημένων προϊόντων προερχόμενων από τη χλωρίδα που βρίσκεται εντός αρχαιολογικών χώρων,</w:t>
      </w:r>
    </w:p>
    <w:p>
      <w:pPr>
        <w:jc w:val="both"/>
      </w:pPr>
      <w:r>
        <w:rPr>
          <w:sz w:val="22"/>
          <w:szCs w:val="22"/>
        </w:rPr>
        <w:t xml:space="preserve">ε) η σχεδίαση, η ανάπτυξη, η εφαρμογή, η λειτουργία και η συντήρηση συστημάτων σήμανσης (φυσικής και ψηφιακής) με βάση την ενιαία οπτική ταυτότητα «Hellenic Heritage» σε αρχαιολογικούς χώρους, ιστορικούς τόπους, μνημεία και μουσεία για την εξυπηρέτηση και καθοδήγηση των επισκεπτών,</w:t>
      </w:r>
    </w:p>
    <w:p>
      <w:pPr>
        <w:jc w:val="both"/>
      </w:pPr>
      <w:r>
        <w:rPr>
          <w:sz w:val="22"/>
          <w:szCs w:val="22"/>
        </w:rPr>
        <w:t xml:space="preserve">στ) η ίδρυση, η διαχείριση, η λειτουργία και η αναβάθμιση φυσικών πωλητηρίων, καθώς και η συνεργασία με καταστήματα τρίτων ή άλλα εμπορικά δίκτυα πωλήσεων, με σκοπό τη διάθεση στο κοινό ακριβών αντιγράφων κυριότητας του Ο.Δ.Α.Π., εμπνευσμένων προϊόντων και εφαρμογών, καλλιτεχνημάτων, έργων τέχνης, ψηφιακών εφαρμογών, εν γένει πολιτιστικών δημιουργημάτων, καθώς και τυποποιημένων και πιστοποιημένων προϊόντων προερχόμενων από τη χλωρίδα που βρίσκεται εντός αρχαιολογικών χώρων,</w:t>
      </w:r>
    </w:p>
    <w:p>
      <w:pPr>
        <w:jc w:val="both"/>
      </w:pPr>
      <w:r>
        <w:rPr>
          <w:sz w:val="22"/>
          <w:szCs w:val="22"/>
        </w:rPr>
        <w:t xml:space="preserve">ζ) η ίδρυση, η διαχείριση, η λειτουργία, η αναβάθμιση με εξοπλισμό, καθώς και η υποστήριξη των εργαστηρίων παραγωγής μητρών, φυσικών ή ψηφιακών μοντέλων, πιστοποιημένων ακριβών αντιγράφων ή αντιγράφων, που ανήκουν στον Ο.Δ.Α.Π.,</w:t>
      </w:r>
    </w:p>
    <w:p>
      <w:pPr>
        <w:jc w:val="both"/>
      </w:pPr>
      <w:r>
        <w:rPr>
          <w:sz w:val="22"/>
          <w:szCs w:val="22"/>
        </w:rPr>
        <w:t xml:space="preserve">η) η ίδρυση, η διαχείριση, η λειτουργία, η αναβάθμιση με εξοπλισμό, καθώς και η υποστήριξη των εκθεσιακών χώρων του Υπουργείου Πολιτισμού και του Ο.Δ.Α.Π.,</w:t>
      </w:r>
    </w:p>
    <w:p>
      <w:pPr>
        <w:jc w:val="both"/>
      </w:pPr>
      <w:r>
        <w:rPr>
          <w:sz w:val="22"/>
          <w:szCs w:val="22"/>
        </w:rPr>
        <w:t xml:space="preserve">θ) η διαχείριση, η λειτουργία και η αναβάθμιση των εργαστηρίων, των εκθεσιακών χώρων, των πωλητηρίων, των αναψυκτηρίων και των επισκέψιμων αποθηκών που στεγάζονται στην Αθήνα, στην οδό Πειραιώς 260,</w:t>
      </w:r>
    </w:p>
    <w:p>
      <w:pPr>
        <w:jc w:val="both"/>
      </w:pPr>
      <w:r>
        <w:rPr>
          <w:sz w:val="22"/>
          <w:szCs w:val="22"/>
        </w:rPr>
        <w:t xml:space="preserve">ι) η διαχείριση, η λειτουργία και η αναβάθμιση του εξοπλισμού των εκδοτηρίων εισιτηρίων,</w:t>
      </w:r>
    </w:p>
    <w:p>
      <w:pPr>
        <w:jc w:val="both"/>
      </w:pPr>
      <w:r>
        <w:rPr>
          <w:sz w:val="22"/>
          <w:szCs w:val="22"/>
        </w:rPr>
        <w:t xml:space="preserve">ια) η αξιοποίηση της ακίνητης περιουσίας με σκοπό την αύξηση των πόρων του Ο.Δ.Α.Π.,</w:t>
      </w:r>
    </w:p>
    <w:p>
      <w:pPr>
        <w:jc w:val="both"/>
      </w:pPr>
      <w:r>
        <w:rPr>
          <w:sz w:val="22"/>
          <w:szCs w:val="22"/>
        </w:rPr>
        <w:t xml:space="preserve">ιβ) η αξιοποίηση αρχαιολογικών χώρων, ιστορικών τόπων και μνημείων για τη διοργάνωση εκδηλώσεων ή δράσεων που σχετίζονται με την προαγωγή της τοπικής γαστρονομίας, σύμφωνα με όσα ορίζονται στο άρθρο 7, με σκοπό την αύξηση των πόρων του Ο.Δ.Α.Π.,</w:t>
      </w:r>
    </w:p>
    <w:p>
      <w:pPr>
        <w:jc w:val="both"/>
      </w:pPr>
      <w:r>
        <w:rPr>
          <w:sz w:val="22"/>
          <w:szCs w:val="22"/>
        </w:rPr>
        <w:t xml:space="preserve">ιγ) η διαχείριση των ψηφιακών μοντέλων και η χρήση αυτών είτε από την ίδια την Εταιρεία είτε, κατόπιν ανάθεσης σύμφωνα με τον ν. 4412/2016 (Α΄ 147), από εξωτερικούς αναδόχους για την παραγωγή ακριβών αντιγράφων, συμπεριλαμβανομένων των αντιγράφων υπό κλίμακα, η προώθηση, η προβολή και η διάθεση αυτών, καθώς και ο σχεδιασμός, η παραγωγή, η προώθηση, η προβολή και η διάθεση εμπνευσμένων προϊόντων και έργων χειροτεχνίας και σύγχρονης τέχνης,</w:t>
      </w:r>
    </w:p>
    <w:p>
      <w:pPr>
        <w:jc w:val="both"/>
      </w:pPr>
      <w:r>
        <w:rPr>
          <w:sz w:val="22"/>
          <w:szCs w:val="22"/>
        </w:rPr>
        <w:t xml:space="preserve">ιδ) ο σχεδιασμός και η ανάπτυξη ολοκληρωμένης εμπορικής πολιτικής, στρατηγικής επικοινωνίας και δημοσίων σχέσεων για την προβολή του πολιτιστικού αποθέματος και της καλλιτεχνικής δημιουργίας στο εσωτερικό και στο εξωτερικό, στο πλαίσιο των στρατηγικών σκοπών του Ο.Δ.Α.Π., όπως αυτοί αναφέρονται στην παρ. 1 του άρθρου 2 του ν. 4761/2020 (Α’ 248), καθώς και των ασκούμενων δημόσιων πολιτικών του Υπουργείου Πολιτισμού, και</w:t>
      </w:r>
    </w:p>
    <w:p>
      <w:pPr>
        <w:jc w:val="both"/>
      </w:pPr>
      <w:r>
        <w:rPr>
          <w:sz w:val="22"/>
          <w:szCs w:val="22"/>
        </w:rPr>
        <w:t xml:space="preserve">ιε) η υποστήριξη του Υπουργείου Πολιτισμού στον σχεδιασμό της πολιτικής για την ανάδειξη και προβολή της πολιτιστικής κληρονομιάς, υλικής και άυλης, κινητής και ακίνητης, την προβολή και υποστήριξη της σύγχρονης καλλιτεχνικής δημιουργίας και την εν γένει προώθηση και υποστήριξη του πολιτιστικού αποθέματος στο εσωτερικό και στο εξωτερικό.</w:t>
      </w:r>
    </w:p>
    <w:p>
      <w:pPr>
        <w:jc w:val="both"/>
      </w:pPr>
      <w:r>
        <w:rPr>
          <w:sz w:val="22"/>
          <w:szCs w:val="22"/>
        </w:rPr>
        <w:t xml:space="preserve"> </w:t>
      </w:r>
    </w:p>
    <w:p>
      <w:pPr>
        <w:jc w:val="both"/>
      </w:pPr>
      <w:r>
        <w:rPr>
          <w:sz w:val="22"/>
          <w:szCs w:val="22"/>
          <w:b w:val="1"/>
          <w:bCs w:val="1"/>
        </w:rPr>
        <w:t xml:space="preserve">Άρθρο 6</w:t>
      </w:r>
    </w:p>
    <w:p>
      <w:pPr>
        <w:jc w:val="both"/>
      </w:pPr>
      <w:r>
        <w:rPr>
          <w:sz w:val="22"/>
          <w:szCs w:val="22"/>
          <w:b w:val="1"/>
          <w:bCs w:val="1"/>
        </w:rPr>
        <w:t xml:space="preserve">Αρμοδιότητες</w:t>
      </w:r>
    </w:p>
    <w:p>
      <w:pPr>
        <w:numPr>
          <w:ilvl w:val="0"/>
          <w:numId w:val="2"/>
        </w:numPr>
      </w:pPr>
      <w:r>
        <w:rPr>
          <w:sz w:val="22"/>
          <w:szCs w:val="22"/>
        </w:rPr>
        <w:t xml:space="preserve">Για την εκπλήρωση των περ. α) έως ε) του άρθρου 5, περί αποστολής, η Εταιρεία ασκεί τις εξής αρμοδιότητες:</w:t>
      </w:r>
    </w:p>
    <w:p>
      <w:pPr>
        <w:jc w:val="both"/>
      </w:pPr>
      <w:r>
        <w:rPr>
          <w:sz w:val="22"/>
          <w:szCs w:val="22"/>
        </w:rPr>
        <w:t xml:space="preserve">α) αναπτύσσει, λειτουργεί και ενσωματώνει νέες ψηφιακές τεχνολογίες και χρησιμοποιεί προϊόντα τεχνητής νοημοσύνης και άλλες αναδυόμενες υπηρεσίες στα ψηφιακά έργα που διαχειρίζεται για λογαριασμό του Ο.Δ.Α.Π. ή του Υπουργείου Πολιτισμού, με σκοπό την ανάδειξη, προώθηση και προβολή του πολιτιστικού αποθέματος και της σύγχρονης δημιουργίας της χώρας,</w:t>
      </w:r>
    </w:p>
    <w:p>
      <w:pPr>
        <w:jc w:val="both"/>
      </w:pPr>
      <w:r>
        <w:rPr>
          <w:sz w:val="22"/>
          <w:szCs w:val="22"/>
        </w:rPr>
        <w:t xml:space="preserve">β) έχει την ευθύνη της διαχείρισης, της λειτουργίας, της συντήρησης, της διαρκούς ανάπτυξης και αναβάθμισης του κεντρικού συστήματος διαχείρισης και διάθεσης εισιτηρίων, του περιφερειακού εξοπλισμού, καθώς και του εκσυγχρονισμού των εκδοτηρίων ή των ταμείων αρχαιολογικών χώρων, ιστορικών τόπων, μνημείων και μουσείων και του εξοπλισμού τους για την υλοποίηση των σχετικών συναλλαγών,</w:t>
      </w:r>
    </w:p>
    <w:p>
      <w:pPr>
        <w:jc w:val="both"/>
      </w:pPr>
      <w:r>
        <w:rPr>
          <w:sz w:val="22"/>
          <w:szCs w:val="22"/>
        </w:rPr>
        <w:t xml:space="preserve">γ) έχει την ευθύνη της διαχείρισης, της λειτουργίας, της συντήρησης και της διαρκούς αναβάθμισης:</w:t>
      </w:r>
    </w:p>
    <w:p>
      <w:pPr>
        <w:jc w:val="both"/>
      </w:pPr>
      <w:r>
        <w:rPr>
          <w:sz w:val="22"/>
          <w:szCs w:val="22"/>
        </w:rPr>
        <w:t xml:space="preserve">γα) του ηλεκτρονικού συστήματος ελέγχου πρόσβασης στους αρχαιολογικούς χώρους, στους ιστορικούς τόπους, στα μνημεία και στα μουσεία και</w:t>
      </w:r>
    </w:p>
    <w:p>
      <w:pPr>
        <w:jc w:val="both"/>
      </w:pPr>
      <w:r>
        <w:rPr>
          <w:sz w:val="22"/>
          <w:szCs w:val="22"/>
        </w:rPr>
        <w:t xml:space="preserve">γβ) του ηλεκτρονικού συστήματος καταγραφής εισερχόμενων και εξερχόμενων επισκεπτών στους ανωτέρω χώρους,</w:t>
      </w:r>
    </w:p>
    <w:p>
      <w:pPr>
        <w:jc w:val="both"/>
      </w:pPr>
      <w:r>
        <w:rPr>
          <w:sz w:val="22"/>
          <w:szCs w:val="22"/>
        </w:rPr>
        <w:t xml:space="preserve">δ) έχει την ευθύνη της διαχείρισης, της λειτουργίας, της συντήρησης και της διαρκούς αναβάθμισης εφαρμογών ψηφιακού ξεναγού σε αρχαιολογικούς χώρους, ιστορικούς τόπους, μνημεία και μουσεία,</w:t>
      </w:r>
    </w:p>
    <w:p>
      <w:pPr>
        <w:jc w:val="both"/>
      </w:pPr>
      <w:r>
        <w:rPr>
          <w:sz w:val="22"/>
          <w:szCs w:val="22"/>
        </w:rPr>
        <w:t xml:space="preserve">ε) έχει την ευθύνη του σχεδιασμού, της διαχείρισης, της λειτουργίας, της συντήρησης και της διαρκούς αναβάθμισης και επέκτασης της συμβατικής και της ψηφιακής σήμανσης σε αρχαιολογικούς χώρους, ιστορικούς τόπους, μνημεία και μουσεία,</w:t>
      </w:r>
    </w:p>
    <w:p>
      <w:pPr>
        <w:jc w:val="both"/>
      </w:pPr>
      <w:r>
        <w:rPr>
          <w:sz w:val="22"/>
          <w:szCs w:val="22"/>
        </w:rPr>
        <w:t xml:space="preserve">στ) έχει την ευθύνη της διαχείρισης, της λειτουργίας, της συντήρησης και της διαρκούς αναβάθμισης των εφαρμογών της διαδικτυακής ψηφιακής πύλης hh.gr, καθώς και του σχεδιασμού και της ανάπτυξης νέων τεχνολογικών προϊόντων και καινοτόμων υπηρεσιών και της χρήσης προϊόντων τεχνητής νοημοσύνης για τη διαρκή βελτίωση αυτών,</w:t>
      </w:r>
    </w:p>
    <w:p>
      <w:pPr>
        <w:jc w:val="both"/>
      </w:pPr>
      <w:r>
        <w:rPr>
          <w:sz w:val="22"/>
          <w:szCs w:val="22"/>
        </w:rPr>
        <w:t xml:space="preserve">ζ) έχει την ευθύνη για την ανάπτυξη ψηφιακών υπηρεσιών και τον διαρκή εμπλουτισμό του περιεχομένου της διαδικτυακής ψηφιακής πύλης hh.gr, τα οποία είναι προσβάσιμα σε εμποδιζόμενα άτομα και σε άτομα με αναπηρία,</w:t>
      </w:r>
    </w:p>
    <w:p>
      <w:pPr>
        <w:jc w:val="both"/>
      </w:pPr>
      <w:r>
        <w:rPr>
          <w:sz w:val="22"/>
          <w:szCs w:val="22"/>
        </w:rPr>
        <w:t xml:space="preserve">η) έχει την ευθύνη για τον σχεδιασμό, την υλοποίηση και την παροχή κάθε είδους υπηρεσίας που αφορά στην πρόσβαση και στην επίσκεψη σε αρχαιολογικούς χώρους, ιστορικούς τόπους, μνημεία και μουσεία,</w:t>
      </w:r>
    </w:p>
    <w:p>
      <w:pPr>
        <w:jc w:val="both"/>
      </w:pPr>
      <w:r>
        <w:rPr>
          <w:sz w:val="22"/>
          <w:szCs w:val="22"/>
        </w:rPr>
        <w:t xml:space="preserve">θ) αναλαμβάνει κατά περίπτωση συνέργειες με εποπτευόμενους φορείς του Υπουργείου Πολιτισμού και με δημόσιους και ιδιωτικούς φορείς για την ενσωμάτωση των προϊόντων και υπηρεσιών στη διαδικτυακή ψηφιακή πύλη hh.gr, στο πλαίσιο εκπλήρωσης των σκοπών της, με γνώμονα την περαιτέρω βελτίωση των υπηρεσιών και προϊόντων προς τον επισκέπτη,</w:t>
      </w:r>
    </w:p>
    <w:p>
      <w:pPr>
        <w:jc w:val="both"/>
      </w:pPr>
      <w:r>
        <w:rPr>
          <w:sz w:val="22"/>
          <w:szCs w:val="22"/>
        </w:rPr>
        <w:t xml:space="preserve">ι) έχει την ευθύνη για τη διαχείριση, τη λειτουργία και τη διαρκή αναβάθμιση του ηλεκτρονικού καταστήματος (e-shop) της διαδικτυακής ψηφιακής πύλης hh.gr,</w:t>
      </w:r>
    </w:p>
    <w:p>
      <w:pPr>
        <w:jc w:val="both"/>
      </w:pPr>
      <w:r>
        <w:rPr>
          <w:sz w:val="22"/>
          <w:szCs w:val="22"/>
        </w:rPr>
        <w:t xml:space="preserve">ια) υποβάλλει εισηγήσεις προς το Διοικητικό Συμβούλιο (Δ.Σ.) του Ο.Δ.Α.Π. και τον Υπουργό Πολιτισμού για τον σχεδιασμό και την αναθεώρηση της τιμολογιακής πολιτικής πρόσβασης σε αρχαιολογικούς χώρους, ιστορικούς τόπους, μνημεία και μουσεία, συμπεριλαμβανομένου του πλαισίου κινήτρων για την ενίσχυση της επισκεψιμότητας αυτών, με σκοπό την αύξηση των εσόδων του Ο.Δ.Α.Π.,</w:t>
      </w:r>
    </w:p>
    <w:p>
      <w:pPr>
        <w:jc w:val="both"/>
      </w:pPr>
      <w:r>
        <w:rPr>
          <w:sz w:val="22"/>
          <w:szCs w:val="22"/>
        </w:rPr>
        <w:t xml:space="preserve">ιβ) σχεδιάζει, εξειδικεύει και υλοποιεί τους διάφορους τύπους του ενιαίου ψηφιακού εισιτηρίου «Hellenic Heritage Pass», όπως εισιτήρια τοπικά ή διαδρομών, οικογενειακά και θεματικά, καθώς και εισιτήρια που συνδυάζουν προϊόντα ή υπηρεσίες τρίτων φορέων,</w:t>
      </w:r>
    </w:p>
    <w:p>
      <w:pPr>
        <w:jc w:val="both"/>
      </w:pPr>
      <w:r>
        <w:rPr>
          <w:sz w:val="22"/>
          <w:szCs w:val="22"/>
        </w:rPr>
        <w:t xml:space="preserve">ιγ) εξειδικεύει και υλοποιεί, εντός της καθορισμένης τιμολογιακής πολιτικής του Υπουργείου Πολιτισμού, κίνητρα για την ενίσχυση της επισκεψιμότητας σε αρχαιολογικούς χώρους, ιστορικούς τόπους, μνημεία και μουσεία, με σκοπό την αύξηση των εσόδων του Ο.Δ.Α.Π., τα οποία αναρτώνται στη διαδικτυακή ψηφιακή πύλη hh.gr και ανακοινώνονται στην κεντρική ψηφιακή πύλη του Ο.Δ.Α.Π.,</w:t>
      </w:r>
    </w:p>
    <w:p>
      <w:pPr>
        <w:jc w:val="both"/>
      </w:pPr>
      <w:r>
        <w:rPr>
          <w:sz w:val="22"/>
          <w:szCs w:val="22"/>
        </w:rPr>
        <w:t xml:space="preserve">ιδ) καθορίζει τις τιμές πώλησης, τη δωρεάν ή με έκπτωση διάθεση των πωλούμενων ειδών και το ποσοστό της έκπτωσης στα πωλητήρια που διαχειρίζεται,</w:t>
      </w:r>
    </w:p>
    <w:p>
      <w:pPr>
        <w:jc w:val="both"/>
      </w:pPr>
      <w:r>
        <w:rPr>
          <w:sz w:val="22"/>
          <w:szCs w:val="22"/>
        </w:rPr>
        <w:t xml:space="preserve">ιε) σχεδιάζει, διαχειρίζεται και υλοποιεί, ως δικαιούχος, έργα για τον ψηφιακό και τον τεχνολογικό μετασχηματισμό και για την ενσωμάτωση της καινοτομίας και των νέων τεχνολογιών στους τομείς αρμοδιότητας του Υπουργείου Πολιτισμού που άπτονται της αποστολής της,</w:t>
      </w:r>
    </w:p>
    <w:p>
      <w:pPr>
        <w:jc w:val="both"/>
      </w:pPr>
      <w:r>
        <w:rPr>
          <w:sz w:val="22"/>
          <w:szCs w:val="22"/>
        </w:rPr>
        <w:t xml:space="preserve">ιστ) μεριμνά για τη διαλειτουργικότητα της διαδικτυακής ψηφιακής πύλης hh.gr με τους επίσημους διαδικτυακούς τόπους των δημοσίων φορέων που κρίνονται αναγκαίοι για την εκπλήρωση της αποστολής της,</w:t>
      </w:r>
    </w:p>
    <w:p>
      <w:pPr>
        <w:jc w:val="both"/>
      </w:pPr>
      <w:r>
        <w:rPr>
          <w:sz w:val="22"/>
          <w:szCs w:val="22"/>
        </w:rPr>
        <w:t xml:space="preserve">ιζ) σχεδιάζει, αναπτύσσει και εφαρμόζει συστήματα σήμανσης, φυσικής και ψηφιακής, με βάση την ενιαία οπτική ταυτότητα Hellenic Heritage, σε αρχαιολογικούς χώρους, ιστορικούς τόπους, μουσεία και μνημεία για την εξυπηρέτηση και καθοδήγηση των επισκεπτών.</w:t>
      </w:r>
    </w:p>
    <w:p>
      <w:pPr>
        <w:numPr>
          <w:ilvl w:val="0"/>
          <w:numId w:val="3"/>
        </w:numPr>
      </w:pPr>
      <w:r>
        <w:rPr>
          <w:sz w:val="22"/>
          <w:szCs w:val="22"/>
        </w:rPr>
        <w:t xml:space="preserve">Για την εκπλήρωση των περ. στ) έως ιβ) του άρθρου 5, η Εταιρεία ασκεί τις εξής αρμοδιότητες:</w:t>
      </w:r>
    </w:p>
    <w:p>
      <w:pPr>
        <w:jc w:val="both"/>
      </w:pPr>
      <w:r>
        <w:rPr>
          <w:sz w:val="22"/>
          <w:szCs w:val="22"/>
        </w:rPr>
        <w:t xml:space="preserve">α) ενεργεί κάθε νομική και υλική πράξη διοίκησης, διαχείρισης και αξιοποίησης της ακίνητης περιουσίας στο όνομα και για λογαριασμό του Ο.Δ.Α.Π. ή του Υπουργείου Πολιτισμού, αντίστοιχα,</w:t>
      </w:r>
    </w:p>
    <w:p>
      <w:pPr>
        <w:jc w:val="both"/>
      </w:pPr>
      <w:r>
        <w:rPr>
          <w:sz w:val="22"/>
          <w:szCs w:val="22"/>
        </w:rPr>
        <w:t xml:space="preserve">β) διαχειρίζεται και διασφαλίζει την ακίνητη περιουσία του Ο.Δ.Α.Π. ή του Υπουργείου Πολιτισμού, αντίστοιχα, που της έχει ανατεθεί,</w:t>
      </w:r>
    </w:p>
    <w:p>
      <w:pPr>
        <w:jc w:val="both"/>
      </w:pPr>
      <w:r>
        <w:rPr>
          <w:sz w:val="22"/>
          <w:szCs w:val="22"/>
        </w:rPr>
        <w:t xml:space="preserve">γ) συντάσσει το σχέδιο προγράμματος αξιοποίησης ακίνητης περιουσίας προς το Δ.Σ. του Ο.Δ.Α.Π., σύμφωνα με όσα ορίζονται στην παρ. 4 του άρθρου 7, και το σχέδιο προγράμματος αξιοποίησης αρχαιολογικών χώρων, ιστορικών τόπων και μνημείων για τη διοργάνωση εκδηλώσεων ή δράσεων που σχετίζονται με την προαγωγή της τοπικής γαστρονομίας,</w:t>
      </w:r>
    </w:p>
    <w:p>
      <w:pPr>
        <w:jc w:val="both"/>
      </w:pPr>
      <w:r>
        <w:rPr>
          <w:sz w:val="22"/>
          <w:szCs w:val="22"/>
        </w:rPr>
        <w:t xml:space="preserve">δ) καθορίζει τους γενικούς και ειδικούς όρους λειτουργίας των ακινήτων, των αναψυκτηρίων και των πωλητηρίων προς διασφάλιση της ποιότητας των παρεχόμενων υπηρεσιών και προϊόντων,</w:t>
      </w:r>
    </w:p>
    <w:p>
      <w:pPr>
        <w:jc w:val="both"/>
      </w:pPr>
      <w:r>
        <w:rPr>
          <w:sz w:val="22"/>
          <w:szCs w:val="22"/>
        </w:rPr>
        <w:t xml:space="preserve">ε) υλοποιεί την ανέγερση, την επισκευή και τη συντήρηση φυλακίων, εκδοτηρίων εισιτηρίων, πωλητηρίων, αναψυκτηρίων και λοιπών κτιρίων εξυπηρέτησης επισκεπτών σε αρχαιολογικούς χώρους, ιστορικούς τόπους, μνημεία και μουσεία, καθώς και την πραγματοποίηση παρεμβάσεων στα σημεία εισόδου και εξόδου επισκεπτών,</w:t>
      </w:r>
    </w:p>
    <w:p>
      <w:pPr>
        <w:jc w:val="both"/>
      </w:pPr>
      <w:r>
        <w:rPr>
          <w:sz w:val="22"/>
          <w:szCs w:val="22"/>
        </w:rPr>
        <w:t xml:space="preserve">στ) εισηγείται τη διαδικασία συλλογής καρπών εντός αρχαιολογικών χώρων για την παραγωγή προϊόντων της αγροδιατροφικής αλυσίδας,</w:t>
      </w:r>
    </w:p>
    <w:p>
      <w:pPr>
        <w:jc w:val="both"/>
      </w:pPr>
      <w:r>
        <w:rPr>
          <w:sz w:val="22"/>
          <w:szCs w:val="22"/>
        </w:rPr>
        <w:t xml:space="preserve">ζ) μισθώνει ακίνητα, εκμισθώνει και παραχωρεί με κάθε συμβατική μορφή τη χρήση της ακίνητης περιουσίας, ενεργώντας στο όνομα και για λογαριασμό του Ο.Δ.Α.Π. ή του Υπουργείου Πολιτισμού, αντίστοιχα, σύμφωνα με όσα ορίζονται στο άρθρο 7,</w:t>
      </w:r>
    </w:p>
    <w:p>
      <w:pPr>
        <w:jc w:val="both"/>
      </w:pPr>
      <w:r>
        <w:rPr>
          <w:sz w:val="22"/>
          <w:szCs w:val="22"/>
        </w:rPr>
        <w:t xml:space="preserve">η) ιδρύει, διαχειρίζεται, λειτουργεί και αναβαθμίζει τα φυσικά και διαδικτυακά πωλητήρια τα οποία ανήκουν κατά κυριότητα στο Υπουργείο Πολιτισμού και τα οποία διαχειρίζεται ο Ο.Δ.Α.Π.,</w:t>
      </w:r>
    </w:p>
    <w:p>
      <w:pPr>
        <w:jc w:val="both"/>
      </w:pPr>
      <w:r>
        <w:rPr>
          <w:sz w:val="22"/>
          <w:szCs w:val="22"/>
        </w:rPr>
        <w:t xml:space="preserve">θ) χρησιμοποιεί ή διαχειρίζεται χώρους και κτίρια για την επίτευξη των σκοπών της,</w:t>
      </w:r>
    </w:p>
    <w:p>
      <w:pPr>
        <w:jc w:val="both"/>
      </w:pPr>
      <w:r>
        <w:rPr>
          <w:sz w:val="22"/>
          <w:szCs w:val="22"/>
        </w:rPr>
        <w:t xml:space="preserve">ι) εκπονεί και αναθέτει κάθε είδους μελέτες και συμβουλευτικές υπηρεσίες προς τον σκοπό της αξιοποίησης της ακίνητης περιουσίας,</w:t>
      </w:r>
    </w:p>
    <w:p>
      <w:pPr>
        <w:jc w:val="both"/>
      </w:pPr>
      <w:r>
        <w:rPr>
          <w:sz w:val="22"/>
          <w:szCs w:val="22"/>
        </w:rPr>
        <w:t xml:space="preserve">ια) σχεδιάζει και αναπτύσσει εξατομικευμένες υπηρεσίες και εμπειρίες γαστρονομίας εντός αρχαιολογικών χώρων, ιστορικών τόπων, μνημείων και μουσείων,</w:t>
      </w:r>
    </w:p>
    <w:p>
      <w:pPr>
        <w:jc w:val="both"/>
      </w:pPr>
      <w:r>
        <w:rPr>
          <w:sz w:val="22"/>
          <w:szCs w:val="22"/>
        </w:rPr>
        <w:t xml:space="preserve">ιβ) διενεργεί οποιαδήποτε άλλη πράξη και εργασία που είναι άμεσα ή έμμεσα συναφής, συμπληρωματική ή επιβοηθητική της αποστολής της.</w:t>
      </w:r>
    </w:p>
    <w:p>
      <w:pPr>
        <w:numPr>
          <w:ilvl w:val="0"/>
          <w:numId w:val="4"/>
        </w:numPr>
      </w:pPr>
      <w:r>
        <w:rPr>
          <w:sz w:val="22"/>
          <w:szCs w:val="22"/>
        </w:rPr>
        <w:t xml:space="preserve">Αν κατά την άσκηση από την Εταιρεία των αρμοδιοτήτων των παρ. 1 και 2 ανακύψουν οφειλές τρίτων, η Εταιρεία υποχρεούται να τις γνωστοποιήσει αμελλητί στον Ο.Δ.Α.Π.</w:t>
      </w:r>
    </w:p>
    <w:p>
      <w:pPr>
        <w:numPr>
          <w:ilvl w:val="0"/>
          <w:numId w:val="4"/>
        </w:numPr>
      </w:pPr>
      <w:r>
        <w:rPr>
          <w:sz w:val="22"/>
          <w:szCs w:val="22"/>
        </w:rPr>
        <w:t xml:space="preserve">Για την εκπλήρωση της αποστολής των περ. ιγ) έως ιε) του άρθρου 5, η Εταιρεία ασκεί τις εξής αρμοδιότητες:</w:t>
      </w:r>
    </w:p>
    <w:p>
      <w:pPr>
        <w:jc w:val="both"/>
      </w:pPr>
      <w:r>
        <w:rPr>
          <w:sz w:val="22"/>
          <w:szCs w:val="22"/>
        </w:rPr>
        <w:t xml:space="preserve">α) διαχειρίζεται, παράγει, προωθεί και διαθέτει πιστοποιημένα ακριβή αντίγραφα και αντίγραφα, προϊόντα της αγροδιατροφικής αλυσίδας Hellenic Heritage, καθώς και εμπνευσμένα προϊόντα και έργα χειροτεχνίας και σύγχρονης τέχνης Hellenic Heritage και, εν γένει, τα πωλητέα είδη στα φυσικά και διαδικτυακά πωλητήρια που διαχειρίζεται και στη διαδικτυακή ψηφιακή πύλη hh.gr, σύμφωνα με το πρόγραμμα της παρ. 10 του άρθρου 7. Η υλοποίηση της παρούσας αρμοδιότητας της Εταιρείας γίνεται με ίδια μέσα ή με προσφυγή σε εξωτερικό ανάδοχο, σύμφωνα με τον ν. 4412/2016, και η Εταιρεία κάνει χρήση, άνευ ανταλλάγματος, των εργαστηρίων του Ο.Δ.Α.Π. και του εξοπλισμού τους, επικουρούμενη από το προσωπικό του Ο.Δ.Α.Π. που απασχολείται σε αυτά. Τα ακριβή αντίγραφα και τα αντίγραφα που παράγει η Εταιρεία σε εκτέλεση της παρούσας αρμοδιότητας πιστοποιούνται από τριμελείς επιτροπές, οι οποίες συγκροτούνται με απόφαση του Υπουργού Πολιτισμού και αποτελούνται από υπαλλήλους του Υπουργείου Πολιτισμού κλάδου ή ειδικότητας συναφούς με το αντικείμενο πιστοποίησης κάθε επιτροπής. Στα μέλη των επιτροπών καταβάλλεται αποζημίωση ανά συνεδρίαση, σύμφωνα με το άρθρο 21 του ν. 4354/2015 (Α΄ 176), περί αμοιβών συλλογικών οργάνων,</w:t>
      </w:r>
    </w:p>
    <w:p>
      <w:pPr>
        <w:jc w:val="both"/>
      </w:pPr>
      <w:r>
        <w:rPr>
          <w:sz w:val="22"/>
          <w:szCs w:val="22"/>
        </w:rPr>
        <w:t xml:space="preserve">β) ιδρύει, διαχειρίζεται, λειτουργεί, αναβαθμίζει με εξοπλισμό και υποστηρίζει τα εργαστήρια παραγωγής μητρών, μοντέλων φυσικών ή ψηφιακών, πιστοποιημένων ακριβών αντιγράφων ή αντιγράφων, που ανήκουν στον Ο.Δ.Α.Π.,</w:t>
      </w:r>
    </w:p>
    <w:p>
      <w:pPr>
        <w:jc w:val="both"/>
      </w:pPr>
      <w:r>
        <w:rPr>
          <w:sz w:val="22"/>
          <w:szCs w:val="22"/>
        </w:rPr>
        <w:t xml:space="preserve">γ) ιδρύει, διαχειρίζεται, λειτουργεί, αναβαθμίζει με εξοπλισμό και υποστηρίζει τους εκθεσιακούς χώρους του Υπουργείου Πολιτισμού και του Ο.Δ.Α.Π.,</w:t>
      </w:r>
    </w:p>
    <w:p>
      <w:pPr>
        <w:jc w:val="both"/>
      </w:pPr>
      <w:r>
        <w:rPr>
          <w:sz w:val="22"/>
          <w:szCs w:val="22"/>
        </w:rPr>
        <w:t xml:space="preserve">δ) σχεδιάζει και υλοποιεί ολοκληρωμένη εμπορική πολιτική για την αξιοποίηση του πολιτιστικού αποθέματος, καθώς και εμπορική στρατηγική της διαδικτυακής ψηφιακής πύλης hh.gr για τους τελικούς καταναλωτές και τους συνεργάτες ή φορείς της Εταιρείας, αναπτύσσοντας καινοτόμες πολιτιστικές εμπειρίες και υπηρεσίες και προωθώντας τη βιώσιμη χρήση των πόρων και την ενίσχυση της πολιτιστικής εξωστρέφειας,</w:t>
      </w:r>
    </w:p>
    <w:p>
      <w:pPr>
        <w:jc w:val="both"/>
      </w:pPr>
      <w:r>
        <w:rPr>
          <w:sz w:val="22"/>
          <w:szCs w:val="22"/>
        </w:rPr>
        <w:t xml:space="preserve">ε) διαχειρίζεται, προωθεί και διαθέτει μοντέλα για την παραγωγή ακριβών αντιγράφων και αντιγράφων με ίδια μέσα ή με προσφυγή σε εξωτερικό ανάδοχο, σύμφωνα με τον ν. 4412/2016,</w:t>
      </w:r>
    </w:p>
    <w:p>
      <w:pPr>
        <w:jc w:val="both"/>
      </w:pPr>
      <w:r>
        <w:rPr>
          <w:sz w:val="22"/>
          <w:szCs w:val="22"/>
        </w:rPr>
        <w:t xml:space="preserve">στ) επιλέγει τα είδη παραγωγής τρίτων που διατίθενται από τα φυσικά και διαδικτυακά πωλητήρια που διαχειρίζεται και από τη διαδικτυακή ψηφιακή πύλη hh.gr, σύμφωνα με το πρόγραμμα της παρ. 10 του άρθρου 7, και καθορίζει τους όρους διάθεσής τους,</w:t>
      </w:r>
    </w:p>
    <w:p>
      <w:pPr>
        <w:jc w:val="both"/>
      </w:pPr>
      <w:r>
        <w:rPr>
          <w:sz w:val="22"/>
          <w:szCs w:val="22"/>
        </w:rPr>
        <w:t xml:space="preserve">ζ) συνεργάζεται με καταστήματα τρίτων ή άλλα εμπορικά δίκτυα με σκοπό την προώθηση και διάθεση προϊόντων της περ. α).</w:t>
      </w:r>
    </w:p>
    <w:p>
      <w:pPr>
        <w:numPr>
          <w:ilvl w:val="0"/>
          <w:numId w:val="5"/>
        </w:numPr>
      </w:pPr>
      <w:r>
        <w:rPr>
          <w:sz w:val="22"/>
          <w:szCs w:val="22"/>
        </w:rPr>
        <w:t xml:space="preserve">Για την εκπλήρωση της αποστολής της, πλέον των ανωτέρω, η Εταιρεία ασκεί τις ακόλουθες αρμοδιότητες:</w:t>
      </w:r>
    </w:p>
    <w:p>
      <w:pPr>
        <w:jc w:val="both"/>
      </w:pPr>
      <w:r>
        <w:rPr>
          <w:sz w:val="22"/>
          <w:szCs w:val="22"/>
        </w:rPr>
        <w:t xml:space="preserve">α) συνάπτει προγραμματικές συμβάσεις του άρθρου 100 του ν. 3852/2010 (Α’ 87), περί προγραμματικών συμβάσεων, συμβάσεις του άρθρου 12 του ν. 4412/2016, περί δημοσίων συμβάσεων μεταξύ φορέων του δημοσίου τομέα, προγραμματικές συμφωνίες ή άλλες συμβάσεις, διμερείς ή πολυμερείς, και μνημόνια συνεργασίας με δημόσιους ή ιδιωτικούς φορείς,</w:t>
      </w:r>
    </w:p>
    <w:p>
      <w:pPr>
        <w:jc w:val="both"/>
      </w:pPr>
      <w:r>
        <w:rPr>
          <w:sz w:val="22"/>
          <w:szCs w:val="22"/>
        </w:rPr>
        <w:t xml:space="preserve">β) αναλαμβάνει ή συμμετέχει σε:</w:t>
      </w:r>
    </w:p>
    <w:p>
      <w:pPr>
        <w:jc w:val="both"/>
      </w:pPr>
      <w:r>
        <w:rPr>
          <w:sz w:val="22"/>
          <w:szCs w:val="22"/>
        </w:rPr>
        <w:t xml:space="preserve">βα) προγράμματα που χρηματοδοτούνται από πόρους του Αναπτυξιακού Προγράμματος Δημοσίων Επενδύσεων, με την επιφύλαξη των ειδικών θεσμικών πλαισίων που τα διέπουν και του ν. 5140/2024 (Α’ 154), περί νέου αναπτυξιακού προγράμματος δημόσιων επενδύσεων,</w:t>
      </w:r>
    </w:p>
    <w:p>
      <w:pPr>
        <w:jc w:val="both"/>
      </w:pPr>
      <w:r>
        <w:rPr>
          <w:sz w:val="22"/>
          <w:szCs w:val="22"/>
        </w:rPr>
        <w:t xml:space="preserve">ββ) κάθε είδους συγχρηματοδοτούμενα προγράμματα από την Ευρωπαϊκή Ένωση καιδιεθνείς ή εθνικούς οργανισμούς, σύμφωνα με τους κανόνες διαχείρισης και ελέγχου που τα διέπουν,</w:t>
      </w:r>
    </w:p>
    <w:p>
      <w:pPr>
        <w:jc w:val="both"/>
      </w:pPr>
      <w:r>
        <w:rPr>
          <w:sz w:val="22"/>
          <w:szCs w:val="22"/>
        </w:rPr>
        <w:t xml:space="preserve">γ) δύναται να υλοποιεί, στο όνομα και για λογαριασμό του Υπουργείου Πολιτισμού, εθνικά ή συγχρηματοδοτούμενα προγράμματα που σχετίζονται με την αξιοποίηση και ανάδειξη πολιτιστικού ή ιστορικού αποθέματος με τη χρήση ψηφιακών και καινοτόμων τεχνολογιών, κατόπιν έγκρισης του Υπουργού Πολιτισμού, μετά από εισήγηση του Δ.Σ. της Εταιρείας και γνώμη του αρμόδιου Κεντρικού Συμβουλίου του Κώδικα νομοθεσίας για την προστασία των αρχαιοτήτων και εν γένει της πολιτιστικής κληρονομιάς (ν. 4858/2021, Α’ 220),</w:t>
      </w:r>
    </w:p>
    <w:p>
      <w:pPr>
        <w:jc w:val="both"/>
      </w:pPr>
      <w:r>
        <w:rPr>
          <w:sz w:val="22"/>
          <w:szCs w:val="22"/>
        </w:rPr>
        <w:t xml:space="preserve">δ) συνάπτει, μετά από έγκριση του Υπουργού Πολιτισμού, μνημόνια διεθνών συνεργασιών με τη συμμετοχή του Ο.Δ.Α.Π. ή του Υπουργείου Πολιτισμού,</w:t>
      </w:r>
    </w:p>
    <w:p>
      <w:pPr>
        <w:jc w:val="both"/>
      </w:pPr>
      <w:r>
        <w:rPr>
          <w:sz w:val="22"/>
          <w:szCs w:val="22"/>
        </w:rPr>
        <w:t xml:space="preserve">ε) συμμετέχει σε ευρωπαϊκά και διεθνή προγράμματα πολιτιστικού χαρακτήρα,</w:t>
      </w:r>
    </w:p>
    <w:p>
      <w:pPr>
        <w:jc w:val="both"/>
      </w:pPr>
      <w:r>
        <w:rPr>
          <w:sz w:val="22"/>
          <w:szCs w:val="22"/>
        </w:rPr>
        <w:t xml:space="preserve">στ) ασκεί οποιαδήποτε άλλη αρμοδιότητα που της ανατίθεται με νόμο ή κανονιστική πράξη.</w:t>
      </w:r>
    </w:p>
    <w:p>
      <w:pPr>
        <w:numPr>
          <w:ilvl w:val="0"/>
          <w:numId w:val="6"/>
        </w:numPr>
      </w:pPr>
      <w:r>
        <w:rPr>
          <w:sz w:val="22"/>
          <w:szCs w:val="22"/>
        </w:rPr>
        <w:t xml:space="preserve">Η Εταιρεία δύναται να ορίζεται ως δικαιούχος ή συνδικαιούχος συγχρηματοδοτούμενων έργων ή προγραμμάτων των Επιχειρησιακών Προγραμμάτων του Εταιρικού Συμφώνου Περιφερειακής Ανάπτυξης (ΕΣΠΑ) και δύναται να είναι Ενδιάμεσος Φορέας Διαχείρισης Προγραμμάτων αυτού.</w:t>
      </w:r>
    </w:p>
    <w:p>
      <w:pPr>
        <w:numPr>
          <w:ilvl w:val="0"/>
          <w:numId w:val="6"/>
        </w:numPr>
      </w:pPr>
      <w:r>
        <w:rPr>
          <w:sz w:val="22"/>
          <w:szCs w:val="22"/>
        </w:rPr>
        <w:t xml:space="preserve">Αποκλειστικός δικαιούχος των εσόδων από τις δραστηριότητες των παρ. 1 έως 4 και των περ. α), δ) και στ) της παρ. 5, τις οποίες αναπτύσσει η Εταιρεία στο όνομα και για λογαριασμό του Ο.Δ.Α.Π., είναι ο Ο.Δ.Α.Π. Τα έσοδα αυτά κατατίθενται σε τραπεζικό λογαριασμό του Ο.Δ.Α.Π., ο οποίος αποδίδει κατ’ έτος ποσοστό σαράντα τοις εκατό (40%) των ταμειακών διαθεσίμων του ως δημόσιο έσοδο στον κρατικό προϋπολογισμό, σύμφωνα με όσα ορίζονται στο άρθρο 17 του ν. 4761/2020 (A’ 248), περί απόδοσης ποσοστού των ετήσιων διαθεσίμων στο Υπουργείο Πολιτισμού.</w:t>
      </w:r>
    </w:p>
    <w:p>
      <w:pPr>
        <w:numPr>
          <w:ilvl w:val="0"/>
          <w:numId w:val="6"/>
        </w:numPr>
      </w:pPr>
      <w:r>
        <w:rPr>
          <w:sz w:val="22"/>
          <w:szCs w:val="22"/>
        </w:rPr>
        <w:t xml:space="preserve">Με προγραμματική σύμβαση μεταξύ του Ο.Δ.Α.Π., της Εταιρείας και του Υπουργείου Πολιτισμού, η οποία συνάπτεται εντός ενός (1) μηνός από τη συγκρότηση σε σώμα του Δ.Σ. της Εταιρείας, καθορίζονται το ποσό της διαχειριστικής αμοιβής που λαμβάνει η Εταιρεία για τις δραστηριότητες που αναπτύσσει στο πλαίσιο του παρόντος άρθρου στο όνομα και για λογαριασμό του Ο.Δ.Α.Π., οι λειτουργικές δαπάνες της που καλύπτονται από τον Ο.Δ.Α.Π., ο τρόπος και η προθεσμία απόδοσης των σχετικών ποσών από τον Ο.Δ.Α.Π. στην Εταιρεία, η διαδικασία γνωστοποίησης της παρ. 3, καθώς και κάθε άλλο αναγκαίο θέμα για την εφαρμογή της παρούσας.</w:t>
      </w:r>
    </w:p>
    <w:p>
      <w:pPr>
        <w:numPr>
          <w:ilvl w:val="0"/>
          <w:numId w:val="6"/>
        </w:numPr>
      </w:pPr>
      <w:r>
        <w:rPr>
          <w:sz w:val="22"/>
          <w:szCs w:val="22"/>
        </w:rPr>
        <w:t xml:space="preserve">Με προγραμματική σύμβαση που συνάπτεται μεταξύ του Ο.Δ.Α.Π., της Εταιρείας και του Υπουργείου Πολιτισμού καθορίζονται οι ειδικότεροι όροι παραχώρησης της χρήσης των εργαστηρίων του Ο.Δ.Α.Π., συμπεριλαμβανομένων της έκτασης, της διάρκειας και της υποχρέωσης συνεργασίας μεταξύ του προσωπικού των δύο φορέων, καθώς και κάθε άλλο σχετικό θέμα.</w:t>
      </w:r>
    </w:p>
    <w:p>
      <w:pPr>
        <w:jc w:val="both"/>
      </w:pPr>
      <w:r>
        <w:rPr>
          <w:sz w:val="22"/>
          <w:szCs w:val="22"/>
        </w:rPr>
        <w:t xml:space="preserve"> </w:t>
      </w:r>
    </w:p>
    <w:p>
      <w:pPr>
        <w:jc w:val="both"/>
      </w:pPr>
      <w:r>
        <w:rPr>
          <w:sz w:val="22"/>
          <w:szCs w:val="22"/>
          <w:b w:val="1"/>
          <w:bCs w:val="1"/>
        </w:rPr>
        <w:t xml:space="preserve">Άρθρο 7</w:t>
      </w:r>
    </w:p>
    <w:p>
      <w:pPr>
        <w:jc w:val="both"/>
      </w:pPr>
      <w:r>
        <w:rPr>
          <w:sz w:val="22"/>
          <w:szCs w:val="22"/>
          <w:b w:val="1"/>
          <w:bCs w:val="1"/>
        </w:rPr>
        <w:t xml:space="preserve">Επιχειρησιακός σχεδιασμός και διαδικασία έγκρισης και υλοποίησης των προγραμμάτων αξιοποίησης ακίνητης περιουσίας, αρχαιολογικών χώρων, ιστορικών τόπων και μνημείων και ανάπτυξης εργαστηρίων παραγωγής μητρών, φυσικών ή ψηφιακών μοντέλων, ακριβών αντιγράφων και αντιγράφων και αναβάθμισης και υποστήριξης επισκέψιμων εκθεσιακών χώρων</w:t>
      </w:r>
    </w:p>
    <w:p>
      <w:pPr>
        <w:numPr>
          <w:ilvl w:val="0"/>
          <w:numId w:val="7"/>
        </w:numPr>
      </w:pPr>
      <w:r>
        <w:rPr>
          <w:sz w:val="22"/>
          <w:szCs w:val="22"/>
        </w:rPr>
        <w:t xml:space="preserve">Η Εταιρεία είναι αρμόδια για τον επιχειρησιακό σχεδιασμό και την υλοποίηση του προγράμματος αξιοποίησης ακίνητης περιουσίας, σύμφωνα με τους όρους και τις προϋποθέσεις του παρόντος και όσα ορίζονται στο άρθρο 4 του ν. 4761/2020 (Α’ 248), περί αξιοποίησης ακίνητης περιουσίας του Ο.Δ.Α.Π.</w:t>
      </w:r>
    </w:p>
    <w:p>
      <w:pPr>
        <w:numPr>
          <w:ilvl w:val="0"/>
          <w:numId w:val="7"/>
        </w:numPr>
      </w:pPr>
      <w:r>
        <w:rPr>
          <w:sz w:val="22"/>
          <w:szCs w:val="22"/>
        </w:rPr>
        <w:t xml:space="preserve">Η Εταιρεία, στο πλαίσιο εκπλήρωσης των αρμοδιοτήτων της παρ. 1, ασκεί κάθε πράξη διοίκησης, διαχείρισης και εν γένει αξιοποίησης της ακίνητης περιουσίας με δικά της μέσα ή μέσω συμβάσεων μίσθωσης, εφαρμοζομένου του π.δ. 715/1979 (Α’ 212), περί μισθώσεων και εκμισθώσεων ακινήτων των νομικών προσώπων δημοσίου δικαίου, δημόσιων συμβάσεων του ν. 4412/2016 (Α’ 147), περί δημόσιων συμβάσεων, συμβάσεων παραχώρησης του ν. 4413/2016 (Α’ 148), περί ανάθεσης και εκτέλεσης συμβάσεων παραχώρησης, ή μέσω παραχώρησης σε φορείς Κοινωνικής και Αλληλέγγυας Οικονομίας του ν. 4430/2016 (Α’ 205). Οι συμβάσεις μίσθωσης της παρούσας δεν υπάγονται στις διατάξεις της νομοθεσίας για τις εμπορικές μισθώσεις, με εξαίρεση το άρθρο 15 του ν. 4013/2011 (Α’ 204), περί ρύθμισης θεμάτων εμπορικών μισθώσεων. Η εκποίηση της ακίνητης περιουσίας ή οποιουδήποτε στοιχείου αυτής ρητώς αποκλείεται.</w:t>
      </w:r>
    </w:p>
    <w:p>
      <w:pPr>
        <w:numPr>
          <w:ilvl w:val="0"/>
          <w:numId w:val="7"/>
        </w:numPr>
      </w:pPr>
      <w:r>
        <w:rPr>
          <w:sz w:val="22"/>
          <w:szCs w:val="22"/>
        </w:rPr>
        <w:t xml:space="preserve">Το ιδιοκτησιακό καθεστώς της ακίνητης περιουσίας που τελεί υπό τη διοίκηση και διαχείριση της Εταιρείας δεν θίγεται. Η κυριότητα της ακίνητης περιουσίας του Ο.Δ.Α.Π. παραμένει στον Ο.Δ.Α.Π. και η κυριότητα της ακίνητης περιουσίας, της οποίας η διαχείριση έχει ανατεθεί από το Υπουργείο Πολιτισμού στον Ο.Δ.Α.Π., παραμένει στο Υπουργείο Πολιτισμού. Ο Ο.Δ.Α.Π. και το Υπουργείο Πολιτισμού διατηρούν τα εμπράγματα δικαιώματά τους σε αυτή.</w:t>
      </w:r>
    </w:p>
    <w:p>
      <w:pPr>
        <w:numPr>
          <w:ilvl w:val="0"/>
          <w:numId w:val="7"/>
        </w:numPr>
      </w:pPr>
      <w:r>
        <w:rPr>
          <w:sz w:val="22"/>
          <w:szCs w:val="22"/>
        </w:rPr>
        <w:t xml:space="preserve">Η Εταιρεία ασκεί τις αρμοδιότητες της παρ. 1 σύμφωνα με το πρόγραμμα αξιοποίησης ακίνητης περιουσίας, το οποίο περιλαμβάνει ενδεικτικούς ετήσιους στόχους και τους γενικούς και ειδικούς όρους λειτουργίας ακινήτων, αναψυκτηρίων και πωλητηρίων προς διασφάλιση της ποιότητας των παρεχόμενων υπηρεσιών και προϊόντων. Η Εταιρεία υποβάλλει το σχέδιο προγράμματος αξιοποίησης ακίνητης περιουσίας στο Διοικητικό Συμβούλιο (Δ.Σ.) του Ο.Δ.Α.Π. τον πρώτο μήνα εκάστου έτους. Το Δ.Σ. του Ο.Δ.Α.Π. καταρτίζει το τελικό πρόγραμμα αξιοποίησης ακίνητης περιουσίας εντός δεκαπέντε (15) ημερολογιακών ημερών από την υποβολή του σχεδίου και το υποβάλλει προς έγκριση στον Υπουργό Πολιτισμού. Σε περίπτωση μη τήρησης της προθεσμίας του τρίτου εδαφίου από το Δ.Σ. του Ο.Δ.Α.Π., το σχέδιο προγράμματος αξιοποίησης ακίνητης περιουσίας υποβάλλεται από την Εταιρεία προς έγκριση στον Υπουργό Πολιτισμού. Η απόφαση έγκρισης εκδίδεται από τον Υπουργό Πολιτισμού μετά από γνώμη του αρμόδιου Κεντρικού Συμβουλίου του Κώδικα νομοθεσίας για την προστασία των αρχαιοτήτων και εν γένει της πολιτιστικής κληρονομιάς (ν. 4858/2021, Α’ 220). Με την ίδια διαδικασία δύνανται να εγκρίνονται τροποποιήσεις στο πρόγραμμα της παρούσας.</w:t>
      </w:r>
    </w:p>
    <w:p>
      <w:pPr>
        <w:numPr>
          <w:ilvl w:val="0"/>
          <w:numId w:val="7"/>
        </w:numPr>
      </w:pPr>
      <w:r>
        <w:rPr>
          <w:sz w:val="22"/>
          <w:szCs w:val="22"/>
        </w:rPr>
        <w:t xml:space="preserve">Στις συμβάσεις μίσθωσης αναψυκτηρίων και πωλητηρίων εφαρμόζεται και η παρ. 4 του άρθρου 4 του ν. 4761/2020, περί σύναψης συμβάσεων μίσθωσης αναψυκτηρίων και πωλητηρίων με ειδική διαδικασία, οι ειδικότεροι όροι εφαρμογής της οποίας εγκρίνονται με απόφαση του Δ.Σ. της Εταιρείας.</w:t>
      </w:r>
    </w:p>
    <w:p>
      <w:pPr>
        <w:numPr>
          <w:ilvl w:val="0"/>
          <w:numId w:val="7"/>
        </w:numPr>
      </w:pPr>
      <w:r>
        <w:rPr>
          <w:sz w:val="22"/>
          <w:szCs w:val="22"/>
        </w:rPr>
        <w:t xml:space="preserve">Η Εταιρεία υλοποιεί το πρόγραμμα αξιοποίησης αρχαιολογικών χώρων, ιστορικών τόπων και μνημείων για τη διοργάνωση εκδηλώσεων ή δράσεων που σχετίζονται με την προαγωγή της τοπικής γαστρονομίας, σύμφωνα με τις κείμενες διατάξεις περί προστασίας των ανωτέρω χώρων, τόπων και μνημείων. Το πρόγραμμα περιλαμβάνει ενδεικτικούς ετήσιους στόχους και καταρτίζεται από το Δ.Σ. του Ο.Δ.Α.Π. βάσει σχεδίου που συντάσσει το Δ.Σ. της Εταιρείας και εγκρίνεται από τον Υπουργό Πολιτισμού. Η Εταιρεία υποβάλλει το σχέδιο του προγράμματος αξιοποίησης αρχαιολογικών χώρων, ιστορικών τόπων και μνημείων για τη διοργάνωση εκδηλώσεων ή δράσεων που σχετίζονται με την προαγωγή της τοπικής γαστρονομίας στο Δ.Σ. του Ο.Δ.Α.Π. τον πρώτο μήνα εκάστου έτους. Το Δ.Σ. του Ο.Δ.Α.Π. καταρτίζει το τελικό πρόγραμμα εντός δεκαπέντε (15) ημερολογιακών ημερών από την υποβολή του σχεδίου και το υποβάλλει προς έγκριση στον Υπουργό Πολιτισμού. Σε περίπτωση μη τήρησης της προθεσμίας του τετάρτου εδαφίου από το Δ.Σ. του Ο.Δ.Α.Π., το σχέδιο προγράμματος αξιοποίησης αρχαιολογικών χώρων, ιστορικών τόπων και μνημείων για τη διοργάνωση εκδηλώσεων ή δράσεων που σχετίζονται με την προαγωγή της τοπικής γαστρονομίας υποβάλλεται από την Εταιρεία προς έγκριση στον Υπουργό Πολιτισμού. Η απόφαση έγκρισης εκδίδεται από τον Υπουργό Πολιτισμού μετά από γνώμη του αρμόδιου Κεντρικού Συμβουλίου του Κώδικα νομοθεσίας για την προστασία των αρχαιοτήτων και εν γένει της πολιτιστικής κληρονομιάς (ν. 4858/2021, Α’ 220), σύμφωνα με τη διαδικασία του άρθρου 50 του ως άνω Κώδικα. Με την ίδια διαδικασία δύνανται να εγκρίνονται τροποποιήσεις στο πρόγραμμα της παρούσας. Για την παραχώρηση της χρήσης αρχαιολογικών χώρων, ιστορικών τόπων, μουσείων και μνημείων για τη διοργάνωση εκδηλώσεων ή δράσεων που σχετίζονται με την προαγωγή της τοπικής γαστρονομίας καταβάλλονται τέλη στον Ο.Δ.Α.Π.</w:t>
      </w:r>
    </w:p>
    <w:p>
      <w:pPr>
        <w:numPr>
          <w:ilvl w:val="0"/>
          <w:numId w:val="7"/>
        </w:numPr>
      </w:pPr>
      <w:r>
        <w:rPr>
          <w:sz w:val="22"/>
          <w:szCs w:val="22"/>
        </w:rPr>
        <w:t xml:space="preserve">Ειδικά για τη διοργάνωση εκδηλώσεων ή δράσεων που σχετίζονται με την προαγωγή της τοπικής γαστρονομίας της περιοχής στην οποία ευρίσκονται οι αρχαιολογικοί χώροι, οι ιστορικοί τόποι και τα μνημεία, η παραχώρηση της χρήσης αυτών γίνεται με απόφαση του αρμόδιου οργάνου του Υπουργείου Πολιτισμού, η οποία εκδίδεται μετά από πρόταση του Δ.Σ. της Εταιρείας και γνώμη του αρμόδιου Κεντρικού Συμβουλίου του Κώδικα νομοθεσίας για την προστασία των αρχαιοτήτων και εν γένει της πολιτιστικής κληρονομιάς, σύμφωνα με τη διαδικασία του άρθρου 50 του ως άνω Κώδικα και με το πρόγραμμα αξιοποίησης της παρ. 6 του παρόντος.</w:t>
      </w:r>
    </w:p>
    <w:p>
      <w:pPr>
        <w:numPr>
          <w:ilvl w:val="0"/>
          <w:numId w:val="7"/>
        </w:numPr>
      </w:pPr>
      <w:r>
        <w:rPr>
          <w:sz w:val="22"/>
          <w:szCs w:val="22"/>
        </w:rPr>
        <w:t xml:space="preserve">Η Εταιρεία ασκεί τις αρμοδιότητες, τις εξουσίες και τα δικαιώματα του Ο.Δ.Α.Π. ή του Υπουργείου Πολιτισμού στην ακίνητη περιουσία τους, σύμφωνα με το παρόν άρθρο, ως εντολοδόχος και αντιπρόσωπός τους. Στην Εταιρεία παρέχονται, σύμφωνα με το παρόν άρθρο, η εντολή και η πληρεξουσιότητα και, γενικά, η εξουσία να αντιπροσωπεύει τον Ο.Δ.Α.Π. και το Υπουργείο Πολιτισμού και να ενεργεί στο όνομα και για λογαριασμό τους, να ασκεί κάθε δικαίωμα, καθώς και να διενεργεί κάθε νομική και υλική πράξη διοίκησης, διαχείρισης και αξιοποίησης της ακίνητης περιουσίας τους, διεξάγοντας τις υποθέσεις που αφορούν στην περιουσία αυτή. Αντίστοιχα, η Εταιρεία ενεργεί ως εντολοδόχος και αντιπρόσωπος του Ο.Δ.Α.Π. και του Υπουργείου Πολιτισμού και για την εκπλήρωση των υποχρεώσεων εκάστου από την ακίνητη περιουσία του. Η Εταιρεία ασκεί η ίδια τα δικαιώματα και τις αξιώσεις του Ο.Δ.Α.Π. και του Υπουργείου Πολιτισμού από την ακίνητη περιουσία τους, εμπράγματα και ενοχικά, ιδιωτικού και δημοσίου δικαίου. Τα αποτελέσματα των πράξεων και των ενεργειών της Εταιρείας για τη διοικούμενη και διαχειριζόμενη από αυτή ακίνητη περιουσία επέρχονται στο όνομα και για λογαριασμό του Ο.Δ.Α.Π. και του Υπουργείου Πολιτισμού, αντίστοιχα.</w:t>
      </w:r>
    </w:p>
    <w:p>
      <w:pPr>
        <w:numPr>
          <w:ilvl w:val="0"/>
          <w:numId w:val="7"/>
        </w:numPr>
      </w:pPr>
      <w:r>
        <w:rPr>
          <w:sz w:val="22"/>
          <w:szCs w:val="22"/>
        </w:rPr>
        <w:t xml:space="preserve">Ειδικά για την ακίνητη περιουσία που διαχειρίζεται η Εταιρεία στο όνομα και για λογαριασμό του Ο.Δ.Α.Π., μετά από τη λήξη της παραχώρησης ακινήτων, αναψυκτηρίων και πωλητηρίων αρμοδιότητας του Υπουργείου Πολιτισμού ή της σύμβασης αξιοποίησης, το ακίνητο ή το αναψυκτήριο ή το πωλητήριο ελευθερώνεται αμέσως και χωρίς άλλη διατύπωση ή όχληση. Σε περίπτωση άρνησης ή καθυστέρησης απόδοσης ή σε περίπτωση αυθαίρετης κατοχής ή χρήσης, ο Διευθύνων Σύμβουλος της Εταιρείας εκδίδει πρωτόκολλο διοικητικής αποβολής. Εφόσον καταβλήθηκε ελλιπές αντίτιμο για την περίοδο αυθαίρετης χρήσης, εκδίδεται πρωτόκολλο καθορισμού αποζημίωσης αυθαίρετης χρήσης. Τα πρωτόκολλα εκτελούνται πέντε (5) ημέρες μετά από την επίδοσή τους. Κατά των πρωτοκόλλων επιτρέπεται ανακοπή ενώπιον του αρμόδιου Μονομελούς Πρωτοδικείου, η οποία ασκείται εντός προθεσμίας δεκαπέντε (15) ημερών από την επίδοσή τους. Η προθεσμία ανακοπής και η άσκηση αυτής δεν αναστέλλουν την εκτέλεση των πρωτοκόλλων. Τα πρωτόκολλα διοικητικής αποβολής και καθορισμού αποζημίωσης αυθαίρετης χρήσης επιδίδονται και εκτελούνται και από δικαστικό επιμελητή, σύμφωνα με το άρθρο 1 του ν. 2318/1995 (Α’ 126), περί καθηκόντων δικαστικών επιμελητών. Η αποζημίωση που καθορίζεται με το πρωτόκολλο αποτελεί δημόσιο έσοδο, κατά την έννοια της παρ. 2 του άρθρου 1 του Κώδικα Είσπραξης Δημοσίων Εσόδων (ν. 4978/2022, Α’ 190), περί είσπραξης δημόσιων εσόδων, και εισπράττεται σύμφωνα με τον Κώδικα αυτόν. Το πρωτόκολλο αποτελεί νόμιμο τίτλο διοικητικής εκτέλεσης, κατά την έννοια της περ. α) της παρ. 4 του άρθρου 2 του ίδιου Κώδικα, περί οργάνων είσπραξης και νόμιμου τίτλου.</w:t>
      </w:r>
    </w:p>
    <w:p>
      <w:pPr>
        <w:numPr>
          <w:ilvl w:val="0"/>
          <w:numId w:val="7"/>
        </w:numPr>
      </w:pPr>
      <w:r>
        <w:rPr>
          <w:sz w:val="22"/>
          <w:szCs w:val="22"/>
        </w:rPr>
        <w:t xml:space="preserve">Η Εταιρεία υλοποιεί το πρόγραμμα ανάπτυξης εργαστηρίων παραγωγής μητρών, μοντέλων φυσικών ή ψηφιακών, πιστοποιημένων ακριβών αντιγράφων ή αντιγράφων, που ανήκουν στον Ο.Δ.Α.Π., καθώς και αναβάθμισης και υποστήριξης επισκέψιμων εκθεσιακών χώρων. Το πρόγραμμα περιλαμβάνει ενδεικτικούς ετήσιους στόχους. Καταρτίζεται από το Διοικητικό Συμβούλιο του Ο.Δ.Α.Π. βάσει σχεδίου που συντάσσει το Δ.Σ. της Εταιρείας και εγκρίνεται από τον Υπουργό Πολιτισμού. Η Εταιρεία υποβάλλει το σχέδιο του προγράμματος ανάπτυξης εργαστηρίων παραγωγής μητρών, φυσικών ή ψηφιακών μοντέλων, πιστοποιημένων ακριβών αντιγράφων ή αντιγράφων, που ανήκουν στον Ο.Δ.Α.Π., καθώς και αναβάθμισης και υποστήριξης επισκέψιμων εκθεσιακών χώρων στο Δ.Σ. του Ο.Δ.Α.Π. τον πρώτο μήνα εκάστου έτους. Το Δ.Σ. του Ο.Δ.Α.Π. καταρτίζει το τελικό πρόγραμμα εντός δεκαπέντε (15) ημερολογιακών ημερών από την υποβολή του σχεδίου και το υποβάλλει προς έγκριση στον Υπουργό Πολιτισμού. Σε περίπτωση μη τήρησης της προθεσμίας του τετάρτου εδαφίου από το Δ.Σ. του Ο.Δ.Α.Π., το σχέδιο προγράμματος ανάπτυξης εργαστηρίων παραγωγής μητρών, φυσικών ή ψηφιακών μοντέλων, πιστοποιημένων ακριβών αντιγράφων ή αντιγράφων και αναβάθμισης επισκέψιμων εκθεσιακών χώρων υποβάλλεται από την Εταιρεία προς έγκριση στον Υπουργό Πολιτισμού. Η απόφαση έγκρισης εκδίδεται από τον Υπουργό Πολιτισμού μετά από γνώμη του αρμόδιου Κεντρικού Συμβουλίου του Κώδικα νομοθεσίας για την προστασία των αρχαιοτήτων και εν γένει της πολιτιστικής κληρονομιάς, σύμφωνα με τη διαδικασία του άρθρου 50 του ως άνω Κώδικα. Με την ίδια διαδικασία δύνανται να εγκρίνονται τροποποιήσεις στο πρόγραμμα της παρούσας.</w:t>
      </w:r>
    </w:p>
    <w:p>
      <w:pPr>
        <w:numPr>
          <w:ilvl w:val="0"/>
          <w:numId w:val="7"/>
        </w:numPr>
      </w:pPr>
      <w:r>
        <w:rPr>
          <w:sz w:val="22"/>
          <w:szCs w:val="22"/>
        </w:rPr>
        <w:t xml:space="preserve">Η Εταιρεία εκπροσωπεί τον Ο.Δ.Α.Π. και το Υπουργείο Πολιτισμού, δικαστικώς και εξωδίκως, σε κάθε δίκη που έχει ως αντικείμενο τη διοικούμενη και διαχειριζόμενη από αυτήν ακίνητη περιουσία τους, τα εμπράγματα, ενοχικά και πάσης φύσεως δικαιώματά τους σε αυτή, τη διεκδίκηση, τη διασφάλιση και την προστασία της και γενικά σε κάθε υπόθεση και έννομη σχέση που την αφορά. Η Εταιρεία νομιμοποιείται ως διάδικος, ασκώντας κάθε ένδικο βοήθημα και ένδικο μέσο και ενεργώντας κάθε διαδικαστική πράξη στο όνομα και για λογαριασμό του Ο.Δ.Α.Π. και του Υπουργείου Πολιτισμού, αντίστοιχα, για κάθε υπόθεση που αφορά στη διοικούμενη και διαχειριζόμενη ακίνητη περιουσία τους.</w:t>
      </w:r>
    </w:p>
    <w:p>
      <w:pPr>
        <w:jc w:val="both"/>
      </w:pPr>
      <w:r>
        <w:rPr>
          <w:sz w:val="22"/>
          <w:szCs w:val="22"/>
        </w:rPr>
        <w:t xml:space="preserve"> </w:t>
      </w:r>
    </w:p>
    <w:p>
      <w:pPr>
        <w:jc w:val="both"/>
      </w:pPr>
      <w:r>
        <w:rPr>
          <w:sz w:val="22"/>
          <w:szCs w:val="22"/>
          <w:b w:val="1"/>
          <w:bCs w:val="1"/>
        </w:rPr>
        <w:t xml:space="preserve">ΚΕΦΑΛΑΙΟ Γ’</w:t>
      </w:r>
    </w:p>
    <w:p>
      <w:pPr>
        <w:jc w:val="both"/>
      </w:pPr>
      <w:r>
        <w:rPr>
          <w:sz w:val="22"/>
          <w:szCs w:val="22"/>
          <w:b w:val="1"/>
          <w:bCs w:val="1"/>
        </w:rPr>
        <w:t xml:space="preserve">ΔΙΟΙΚΗΣΗ</w:t>
      </w:r>
    </w:p>
    <w:p>
      <w:pPr>
        <w:jc w:val="both"/>
      </w:pPr>
      <w:r>
        <w:rPr>
          <w:sz w:val="22"/>
          <w:szCs w:val="22"/>
          <w:b w:val="1"/>
          <w:bCs w:val="1"/>
        </w:rPr>
        <w:t xml:space="preserve"> </w:t>
      </w:r>
    </w:p>
    <w:p>
      <w:pPr>
        <w:jc w:val="both"/>
      </w:pPr>
      <w:r>
        <w:rPr>
          <w:sz w:val="22"/>
          <w:szCs w:val="22"/>
          <w:b w:val="1"/>
          <w:bCs w:val="1"/>
        </w:rPr>
        <w:t xml:space="preserve">Άρθρο 8</w:t>
      </w:r>
    </w:p>
    <w:p>
      <w:pPr>
        <w:jc w:val="both"/>
      </w:pPr>
      <w:r>
        <w:rPr>
          <w:sz w:val="22"/>
          <w:szCs w:val="22"/>
          <w:b w:val="1"/>
          <w:bCs w:val="1"/>
        </w:rPr>
        <w:t xml:space="preserve">Όργανα διοίκησης</w:t>
      </w:r>
    </w:p>
    <w:p>
      <w:pPr>
        <w:jc w:val="both"/>
      </w:pPr>
      <w:r>
        <w:rPr>
          <w:sz w:val="22"/>
          <w:szCs w:val="22"/>
        </w:rPr>
        <w:t xml:space="preserve">Όργανα διοίκησης της Εταιρείας είναι:</w:t>
      </w:r>
    </w:p>
    <w:p>
      <w:pPr>
        <w:jc w:val="both"/>
      </w:pPr>
      <w:r>
        <w:rPr>
          <w:sz w:val="22"/>
          <w:szCs w:val="22"/>
        </w:rPr>
        <w:t xml:space="preserve">α) το Διοικητικό Συμβούλιο και</w:t>
      </w:r>
    </w:p>
    <w:p>
      <w:pPr>
        <w:jc w:val="both"/>
      </w:pPr>
      <w:r>
        <w:rPr>
          <w:sz w:val="22"/>
          <w:szCs w:val="22"/>
        </w:rPr>
        <w:t xml:space="preserve">β) ο Διευθύνων Σύμβουλος.</w:t>
      </w:r>
    </w:p>
    <w:p>
      <w:pPr>
        <w:jc w:val="both"/>
      </w:pPr>
      <w:r>
        <w:rPr>
          <w:sz w:val="22"/>
          <w:szCs w:val="22"/>
        </w:rPr>
        <w:t xml:space="preserve"> </w:t>
      </w:r>
    </w:p>
    <w:p>
      <w:pPr>
        <w:jc w:val="both"/>
      </w:pPr>
      <w:r>
        <w:rPr>
          <w:sz w:val="22"/>
          <w:szCs w:val="22"/>
          <w:b w:val="1"/>
          <w:bCs w:val="1"/>
        </w:rPr>
        <w:t xml:space="preserve">Άρθρο 9</w:t>
      </w:r>
    </w:p>
    <w:p>
      <w:pPr>
        <w:jc w:val="both"/>
      </w:pPr>
      <w:r>
        <w:rPr>
          <w:sz w:val="22"/>
          <w:szCs w:val="22"/>
          <w:b w:val="1"/>
          <w:bCs w:val="1"/>
        </w:rPr>
        <w:t xml:space="preserve">Ορισμός, σύνθεση και θητεία Διοικητικού Συμβουλίου</w:t>
      </w:r>
    </w:p>
    <w:p>
      <w:pPr>
        <w:numPr>
          <w:ilvl w:val="0"/>
          <w:numId w:val="8"/>
        </w:numPr>
      </w:pPr>
      <w:r>
        <w:rPr>
          <w:sz w:val="22"/>
          <w:szCs w:val="22"/>
        </w:rPr>
        <w:t xml:space="preserve">Το Διοικητικό Συμβούλιο (Δ.Σ.) της Εταιρείας είναι επταμελές. Με την επιφύλαξη της παρ. 2, τα μέλη του εκλέγονται με απόφαση της Γενικής Συνέλευσης, κατόπιν εισήγησης του Υπουργού Πολιτισμού, για τα τρία (3) μέλη και του Υπουργού Εθνικής Οικονομίας και Οικονομικών για τα υπόλοιπα δύο (2) μέλη για τετραετή θητεία, η οποία δύναται να ανανεώνεται για μία (1) ακόμη θητεία.</w:t>
      </w:r>
    </w:p>
    <w:p>
      <w:pPr>
        <w:numPr>
          <w:ilvl w:val="0"/>
          <w:numId w:val="8"/>
        </w:numPr>
      </w:pPr>
      <w:r>
        <w:rPr>
          <w:sz w:val="22"/>
          <w:szCs w:val="22"/>
        </w:rPr>
        <w:t xml:space="preserve">Ο Πρόεδρος του Δ.Σ. και ο Διευθύνων Σύμβουλος της Εταιρείας διορίζονται με απόφαση του Υπουργού Πολιτισμού, σύμφωνα με τη διαδικασία επιλογής του άρθρου 16 του ν. 5271/2026 (Α’ 11), περί διαδικασίας επιλογής οργάνων διοίκησης των νομικών προσώπων δημοσίου και ιδιωτικού δικαίου που εποπτεύονται από τον Υπουργό Πολιτισμού.</w:t>
      </w:r>
    </w:p>
    <w:p>
      <w:pPr>
        <w:numPr>
          <w:ilvl w:val="0"/>
          <w:numId w:val="8"/>
        </w:numPr>
      </w:pPr>
      <w:r>
        <w:rPr>
          <w:sz w:val="22"/>
          <w:szCs w:val="22"/>
        </w:rPr>
        <w:t xml:space="preserve">Το Δ.Σ. αποτελείται από εκτελεστικά και μη εκτελεστικά μέλη, στα οποία συμπεριλαμβάνονται τουλάχιστον ένα (1) και έως δύο (2) ανεξάρτητα μη εκτελεστικά μέλη, όπως αυτά ορίζονται στην παρ. 1 του άρθρου 9 του ν. 4706/2020 (Α’ 136) περί ανεξάρτητων μη εκτελεστικών μελών του Δ.Σ. Η ιδιότητα των μελών ως εκτελεστικών ή μη εκτελεστικών ορίζεται από το Δ.Σ. κατά τη συγκρότησή του σε σώμα. Στη συνέχεια η Γενική Συνέλευση της Εταιρείας, με απόφασή της, εκλέγει τα ανεξάρτητα μη εκτελεστικά μέλη σύμφωνα με την παρ. 5 του άρθρου 7 του ν. 4972/2022 (Α’ 181) περί ορισμού Διοικητικού Συμβουλίου, σύνθεσης και θητείας. Σε κάθε περίπτωση ο Πρόεδρος του Διοικητικού Συμβουλίου είναι μη εκτελεστικό μέλος και ο Διευθύνων Σύμβουλος εκτελεστικό μέλος. Το Δ.Σ. εισηγείται σχετικά, λαμβάνοντας υπόψη υπεύθυνη δήλωση που προσκομίζει υποχρεωτικά το προτεινόμενο ως ανεξάρτητο μέλος ότι πληροί τις προϋποθέσεις περί ανεξαρτησίας, που ορίζονται στο άρθρο 9 του ν. 4706/2020 και ότι, σε αντίθετη περίπτωση, ενημερώνει άμεσα τη Γενική Συνέλευση και το Δ.Σ. Αν οποιαδήποτε στιγμή διαπιστωθεί ότι οι προϋποθέσεις έπαψαν να συντρέχουν στο πρόσωπο του ανεξάρτητου μη εκτελεστικού μέλους, το Δ.Σ. προβαίνει στις απαραίτητες ενέργειες για την αντικατάστασή του.</w:t>
      </w:r>
    </w:p>
    <w:p>
      <w:pPr>
        <w:numPr>
          <w:ilvl w:val="0"/>
          <w:numId w:val="8"/>
        </w:numPr>
      </w:pPr>
      <w:r>
        <w:rPr>
          <w:sz w:val="22"/>
          <w:szCs w:val="22"/>
        </w:rPr>
        <w:t xml:space="preserve">Αν για οποιονδήποτε λόγο εκλείψουν ένα (1) ή περισσότερα μέλη του Δ.Σ., τα νέα μέλη ορίζονται σύμφωνα με τη διαδικασία της παρ. 1 για το υπόλοιπο της θητείας των μελών που εξέλιπαν. Μέχρι τον ορισμό νέων μελών, το Διοικητικό Συμβούλιο συνεδριάζει νομίμως, εφόσον ο αριθμός των μελών του δεν έχει μειωθεί κάτω των τριών (3).</w:t>
      </w:r>
    </w:p>
    <w:p>
      <w:pPr>
        <w:numPr>
          <w:ilvl w:val="0"/>
          <w:numId w:val="8"/>
        </w:numPr>
      </w:pPr>
      <w:r>
        <w:rPr>
          <w:sz w:val="22"/>
          <w:szCs w:val="22"/>
        </w:rPr>
        <w:t xml:space="preserve">Τα μέλη του Δ.Σ., πλην του Προέδρου και του Διευθύνοντος Συμβούλου, παύονται αζημίως για το Δημόσιο με απόφαση της Γενικής Συνέλευσης, κατόπιν εισήγησης του Υπουργού Πολιτισμού, εφόσον αυτό κριθεί απαραίτητο για την εύρυθμη λειτουργία της Εταιρείας. Για τον Πρόεδρο και τον Διευθύνοντα Σύμβουλο εφαρμόζονται όσα ορίζονται στην παρ. 5 του άρθρου 16 του ν. 5271/2026, περί παράτασης θητείας και προσωρινής πλήρωσης θέσεων, και στο άρθρο 21 του ν. 4972/2022, περί πρόωρης λήξης της θητείας.</w:t>
      </w:r>
    </w:p>
    <w:p>
      <w:pPr>
        <w:jc w:val="both"/>
      </w:pPr>
      <w:r>
        <w:rPr>
          <w:sz w:val="22"/>
          <w:szCs w:val="22"/>
        </w:rPr>
        <w:t xml:space="preserve"> </w:t>
      </w:r>
    </w:p>
    <w:p>
      <w:pPr>
        <w:jc w:val="both"/>
      </w:pPr>
      <w:r>
        <w:rPr>
          <w:sz w:val="22"/>
          <w:szCs w:val="22"/>
          <w:b w:val="1"/>
          <w:bCs w:val="1"/>
        </w:rPr>
        <w:t xml:space="preserve">Άρθρο 10</w:t>
      </w:r>
    </w:p>
    <w:p>
      <w:pPr>
        <w:jc w:val="both"/>
      </w:pPr>
      <w:r>
        <w:rPr>
          <w:sz w:val="22"/>
          <w:szCs w:val="22"/>
          <w:b w:val="1"/>
          <w:bCs w:val="1"/>
        </w:rPr>
        <w:t xml:space="preserve">Κωλύματα, ασυμβίβαστα και έκπτωση μελών Διοικητικού Συμβουλίου</w:t>
      </w:r>
    </w:p>
    <w:p>
      <w:pPr>
        <w:numPr>
          <w:ilvl w:val="0"/>
          <w:numId w:val="9"/>
        </w:numPr>
      </w:pPr>
      <w:r>
        <w:rPr>
          <w:sz w:val="22"/>
          <w:szCs w:val="22"/>
        </w:rPr>
        <w:t xml:space="preserve">Δεν μπορεί να οριστεί ή να είναι μέλος του Διοικητικού Συμβουλίου (Δ.Σ.) της Εταιρείας πρόσωπο στο οποίο συντρέχει κώλυμα διορισμού ή λόγος έκπτωσης, σύμφωνα με τον Κώδικα Κατάστασης Δημοσίων Πολιτικών Διοικητικών Υπαλλήλων και Υπαλλήλων Ν.Π.Δ.Δ. (ν. 3528/2007, Α’ 26), καθώς και κώλυμα ή ασυμβίβαστο των άρθρων 69 και 70 του ν. 4622/2019 (Α’ 133).</w:t>
      </w:r>
    </w:p>
    <w:p>
      <w:pPr>
        <w:numPr>
          <w:ilvl w:val="0"/>
          <w:numId w:val="9"/>
        </w:numPr>
      </w:pPr>
      <w:r>
        <w:rPr>
          <w:sz w:val="22"/>
          <w:szCs w:val="22"/>
        </w:rPr>
        <w:t xml:space="preserve">Δεν δύναται να οριστεί μέλος του Δ.Σ. όποιος έχει καταδικασθεί αμετάκλητα για κακούργημα ή για οποιαδήποτε παράβαση του Κώδικα νομοθεσίας για την προστασία των αρχαιοτήτων και εν γένει της πολιτιστικής κληρονομιάς (ν. 4858/2021, Α’ 220) ή για πλαστογραφία, δωροδοκία, κλοπή, υπεξαίρεση ή αποδοχή προϊόντων εγκλήματος ή για παράβαση των άρθρων 4, περί κατασκευής, παραποίησης, έκθεσης, διακίνησης, διάθεσης, μεταβίβασης, κατοχής έργου τέχνης ή συλλεκτικού αντικειμένου με σκοπό την παραπλάνηση και περί επιβαρυντικών περιστάσεων, και 11, περί φθοράς έργων τέχνης και συλλεκτικών αντικειμένων, του ν. 5271/2026 (Α’ 11). Το κώλυμα υπάρχει και για όσο χρόνο εκκρεμεί η ποινική δίωξη για μία από τις παραπάνω πράξεις, καθώς και όταν έχει απορριφθεί η αναστολή εκτέλεσης της ποινής γι’ αυτές ή έχει παύσει οριστικά η ποινική δίωξη γι’ αυτές λόγω παραγραφής.</w:t>
      </w:r>
    </w:p>
    <w:p>
      <w:pPr>
        <w:numPr>
          <w:ilvl w:val="0"/>
          <w:numId w:val="9"/>
        </w:numPr>
      </w:pPr>
      <w:r>
        <w:rPr>
          <w:sz w:val="22"/>
          <w:szCs w:val="22"/>
        </w:rPr>
        <w:t xml:space="preserve">Η ιδιότητα μέλους του Δ.Σ. είναι ασυμβίβαστη με την ιδιότητα μέλους Δ.Σ. συνδικαλιστικής οργάνωσης. Δεν επιτρέπεται ο ορισμός ως μέλους του Δ.Σ. προσώπου που συνδέεται με υπαλληλική ή έμμισθη σχέση με την Εταιρεία ή με τον Ο.Δ.Α.Π.</w:t>
      </w:r>
    </w:p>
    <w:p>
      <w:pPr>
        <w:numPr>
          <w:ilvl w:val="0"/>
          <w:numId w:val="9"/>
        </w:numPr>
      </w:pPr>
      <w:r>
        <w:rPr>
          <w:sz w:val="22"/>
          <w:szCs w:val="22"/>
        </w:rPr>
        <w:t xml:space="preserve">Τα μέλη του Δ.Σ. δεν επιτρέπεται, επί ποινή ακυρότητας της σχετικής σύμβασης, να συμβάλλονται με την Εταιρεία, σύμφωνα με τα άρθρα 99, περί διαφάνειας και εποπτείας των συναλλαγών με συνδεδεμένα μέρη και 100 περί χορήγησης άδειας για την κατάρτιση συναλλαγής με συνδεδεμένο μέρος, του ν. 4548/2018 (Α’ 104).</w:t>
      </w:r>
    </w:p>
    <w:p>
      <w:pPr>
        <w:numPr>
          <w:ilvl w:val="0"/>
          <w:numId w:val="9"/>
        </w:numPr>
      </w:pPr>
      <w:r>
        <w:rPr>
          <w:sz w:val="22"/>
          <w:szCs w:val="22"/>
        </w:rPr>
        <w:t xml:space="preserve">Από την ιδιότητα του μέλους του Δ.Σ. εκπίπτει το μέλος στο πρόσωπο του οποίου συντρέχουν οι προϋποθέσεις έκπτωσης δημόσιου υπαλλήλου, σύμφωνα με το άρθρο 149 του Κώδικα Κατάστασης Δημοσίων Πολιτικών Διοικητικών Υπαλλήλων και Υπαλλήλων Ν.Π.Δ.Δ., ή το οποίο καταδικάζεται ή παραπέμπεται με τελεσίδικο βούλευμα για κακούργημα.</w:t>
      </w:r>
    </w:p>
    <w:p>
      <w:pPr>
        <w:numPr>
          <w:ilvl w:val="0"/>
          <w:numId w:val="9"/>
        </w:numPr>
      </w:pPr>
      <w:r>
        <w:rPr>
          <w:sz w:val="22"/>
          <w:szCs w:val="22"/>
        </w:rPr>
        <w:t xml:space="preserve">Μέλος του Δ.Σ. που απουσιάζει από τις συνεδριάσεις ή κωλύεται για οποιονδήποτε λόγο για διάστημα πέραν των τριών (3) μηνών εκπίπτει αυτοδικαίως και εκλέγεται νέο μέλος στη θέση του από τη Γενική Συνέλευση, κατόπιν εισήγησης του Υπουργού Πολιτισμού.</w:t>
      </w:r>
    </w:p>
    <w:p>
      <w:pPr>
        <w:jc w:val="both"/>
      </w:pPr>
      <w:r>
        <w:rPr>
          <w:sz w:val="22"/>
          <w:szCs w:val="22"/>
        </w:rPr>
        <w:t xml:space="preserve"> </w:t>
      </w:r>
    </w:p>
    <w:p>
      <w:pPr>
        <w:jc w:val="both"/>
      </w:pPr>
      <w:r>
        <w:rPr>
          <w:sz w:val="22"/>
          <w:szCs w:val="22"/>
          <w:b w:val="1"/>
          <w:bCs w:val="1"/>
        </w:rPr>
        <w:t xml:space="preserve">Άρθρο 11</w:t>
      </w:r>
    </w:p>
    <w:p>
      <w:pPr>
        <w:jc w:val="both"/>
      </w:pPr>
      <w:r>
        <w:rPr>
          <w:sz w:val="22"/>
          <w:szCs w:val="22"/>
          <w:b w:val="1"/>
          <w:bCs w:val="1"/>
        </w:rPr>
        <w:t xml:space="preserve">Αρμοδιότητες Διοικητικού Συμβουλίου</w:t>
      </w:r>
    </w:p>
    <w:p>
      <w:pPr>
        <w:numPr>
          <w:ilvl w:val="0"/>
          <w:numId w:val="10"/>
        </w:numPr>
      </w:pPr>
      <w:r>
        <w:rPr>
          <w:sz w:val="22"/>
          <w:szCs w:val="22"/>
        </w:rPr>
        <w:t xml:space="preserve">Το Διοικητικό Συμβούλιο (Δ.Σ.) διαμορφώνει τη στρατηγική και την πολιτική ανάπτυξης της Εταιρείας, είναι αρμόδιο για τη δικαστική και εξώδικη εκπροσώπησή της, καθώς και για κάθε πράξη που αφορά στη διοίκηση, τη διαχείριση και την επιδίωξη της αποστολής της, με εξαίρεση τα ζητήματα για τα οποία αποκλειστικά αρμόδιος είναι ο Διευθύνων Σύμβουλος, σύμφωνα με το άρθρο 13.</w:t>
      </w:r>
    </w:p>
    <w:p>
      <w:pPr>
        <w:numPr>
          <w:ilvl w:val="0"/>
          <w:numId w:val="10"/>
        </w:numPr>
      </w:pPr>
      <w:r>
        <w:rPr>
          <w:sz w:val="22"/>
          <w:szCs w:val="22"/>
        </w:rPr>
        <w:t xml:space="preserve">Το Δ.Σ. της Εταιρείας ιδίως:</w:t>
      </w:r>
    </w:p>
    <w:p>
      <w:pPr>
        <w:jc w:val="both"/>
      </w:pPr>
      <w:r>
        <w:rPr>
          <w:sz w:val="22"/>
          <w:szCs w:val="22"/>
        </w:rPr>
        <w:t xml:space="preserve">α) εγκρίνει τη στρατηγική και την πολιτική ανάπτυξής της, καθώς και τα στρατηγικά και επιχειρησιακά σχέδια της Εταιρείας ύστερα από εισήγηση του Διευθύνοντος Συμβούλου,</w:t>
      </w:r>
    </w:p>
    <w:p>
      <w:pPr>
        <w:jc w:val="both"/>
      </w:pPr>
      <w:r>
        <w:rPr>
          <w:sz w:val="22"/>
          <w:szCs w:val="22"/>
        </w:rPr>
        <w:t xml:space="preserve">β) εγκρίνει τον Κανονισμό Λειτουργίας του Δ.Σ., ο οποίος περιλαμβάνει υποχρεωτικά τον προσδιορισμό:</w:t>
      </w:r>
    </w:p>
    <w:p>
      <w:pPr>
        <w:jc w:val="both"/>
      </w:pPr>
      <w:r>
        <w:rPr>
          <w:sz w:val="22"/>
          <w:szCs w:val="22"/>
        </w:rPr>
        <w:t xml:space="preserve">βα) των αρμοδιοτήτων των εκτελεστικών, μη εκτελεστικών και ανεξάρτητων μη εκτελεστικών μελών του Δ.Σ.,</w:t>
      </w:r>
    </w:p>
    <w:p>
      <w:pPr>
        <w:jc w:val="both"/>
      </w:pPr>
      <w:r>
        <w:rPr>
          <w:sz w:val="22"/>
          <w:szCs w:val="22"/>
        </w:rPr>
        <w:t xml:space="preserve">ββ) των αρμοδιοτήτων του Προέδρου και του Διευθύνοντος Συμβούλου και</w:t>
      </w:r>
    </w:p>
    <w:p>
      <w:pPr>
        <w:jc w:val="both"/>
      </w:pPr>
      <w:r>
        <w:rPr>
          <w:sz w:val="22"/>
          <w:szCs w:val="22"/>
        </w:rPr>
        <w:t xml:space="preserve">βγ) των υποχρεώσεων που απορρέουν από τις συναλλαγές με συνδεδεμένα μέρη, όπως αυτά ορίζονται στο Παράρτημα Α’ του ν. 4308/2014 (Α’ 251),</w:t>
      </w:r>
    </w:p>
    <w:p>
      <w:pPr>
        <w:jc w:val="both"/>
      </w:pPr>
      <w:r>
        <w:rPr>
          <w:sz w:val="22"/>
          <w:szCs w:val="22"/>
        </w:rPr>
        <w:t xml:space="preserve">γ) εγκρίνει τον Εσωτερικό Κανονισμό Οργάνωσης και Λειτουργίας της Εταιρείας, μετά από εισήγηση του Διευθύνοντος Συμβούλου και κατόπιν έγκρισης του Υπουργού Πολιτισμού,</w:t>
      </w:r>
    </w:p>
    <w:p>
      <w:pPr>
        <w:jc w:val="both"/>
      </w:pPr>
      <w:r>
        <w:rPr>
          <w:sz w:val="22"/>
          <w:szCs w:val="22"/>
        </w:rPr>
        <w:t xml:space="preserve">δ) εγκρίνει κάθε έκθεση ή έγγραφο που σχετίζεται με τις υποχρεώσεις της Εταιρείας, σύμφωνα με το άρθρο 19 του ν. 4972/2022 (Α’ 181), περί υποχρεώσεων των ανώνυμων εταιρειών του Δημοσίου,</w:t>
      </w:r>
    </w:p>
    <w:p>
      <w:pPr>
        <w:jc w:val="both"/>
      </w:pPr>
      <w:r>
        <w:rPr>
          <w:sz w:val="22"/>
          <w:szCs w:val="22"/>
        </w:rPr>
        <w:t xml:space="preserve">ε) αποδέχεται δωρεές, εισφορές, χορηγίες, και προβαίνει σε κάθε νόμιμη εκμετάλλευση εσόδων,</w:t>
      </w:r>
    </w:p>
    <w:p>
      <w:pPr>
        <w:jc w:val="both"/>
      </w:pPr>
      <w:r>
        <w:rPr>
          <w:sz w:val="22"/>
          <w:szCs w:val="22"/>
        </w:rPr>
        <w:t xml:space="preserve">στ) ασκεί πειθαρχική εξουσία δεύτερου βαθμού για όλο το προσωπικό της Εταιρείας,</w:t>
      </w:r>
    </w:p>
    <w:p>
      <w:pPr>
        <w:jc w:val="both"/>
      </w:pPr>
      <w:r>
        <w:rPr>
          <w:sz w:val="22"/>
          <w:szCs w:val="22"/>
        </w:rPr>
        <w:t xml:space="preserve">ζ) εγκρίνει, μετά από εισήγηση του Διευθύνοντος Συμβούλου, την υποβολή του ετήσιου προϋπολογισμού, της ετήσιας έκθεσης πεπραγμένων και του οικονομικού απολογισμού, στο Δ.Σ. του Ο.Δ.Α.Π. και στον Υπουργό Πολιτισμού,</w:t>
      </w:r>
    </w:p>
    <w:p>
      <w:pPr>
        <w:jc w:val="both"/>
      </w:pPr>
      <w:r>
        <w:rPr>
          <w:sz w:val="22"/>
          <w:szCs w:val="22"/>
        </w:rPr>
        <w:t xml:space="preserve">η) υποβάλλει στη Γενική Συνέλευση προς έγκριση τις ετήσιες χρηματοοικονομικές καταστάσεις,</w:t>
      </w:r>
    </w:p>
    <w:p>
      <w:pPr>
        <w:jc w:val="both"/>
      </w:pPr>
      <w:r>
        <w:rPr>
          <w:sz w:val="22"/>
          <w:szCs w:val="22"/>
        </w:rPr>
        <w:t xml:space="preserve">θ) εγκρίνει, μετά από εισήγηση του Διευθύνοντος Συμβούλου, το περιεχόμενο της προγραμματικής σύμβασης σύμφωνα με όσα ορίζονται στην παρ. 9 του άρθρου 6,</w:t>
      </w:r>
    </w:p>
    <w:p>
      <w:pPr>
        <w:jc w:val="both"/>
      </w:pPr>
      <w:r>
        <w:rPr>
          <w:sz w:val="22"/>
          <w:szCs w:val="22"/>
        </w:rPr>
        <w:t xml:space="preserve">ι) εκπροσωπεί δικαστικά και εξωδικαστικά την Εταιρεία.</w:t>
      </w:r>
    </w:p>
    <w:p>
      <w:pPr>
        <w:numPr>
          <w:ilvl w:val="0"/>
          <w:numId w:val="11"/>
        </w:numPr>
      </w:pPr>
      <w:r>
        <w:rPr>
          <w:sz w:val="22"/>
          <w:szCs w:val="22"/>
        </w:rPr>
        <w:t xml:space="preserve">Για την επίτευξη της αποστολής της, πλέον των ανωτέρω, το Δ.Σ. της Εταιρείας ασκεί επιπλέον τις ακόλουθες αρμοδιότητες:</w:t>
      </w:r>
    </w:p>
    <w:p>
      <w:pPr>
        <w:jc w:val="both"/>
      </w:pPr>
      <w:r>
        <w:rPr>
          <w:sz w:val="22"/>
          <w:szCs w:val="22"/>
        </w:rPr>
        <w:t xml:space="preserve">α) λαμβάνει αποφάσεις για τη διαρκή αναβάθμιση και ανάπτυξη της διαδικτυακής ψηφιακής πύλης hh.gr,</w:t>
      </w:r>
    </w:p>
    <w:p>
      <w:pPr>
        <w:jc w:val="both"/>
      </w:pPr>
      <w:r>
        <w:rPr>
          <w:sz w:val="22"/>
          <w:szCs w:val="22"/>
        </w:rPr>
        <w:t xml:space="preserve">β) υποβάλλει εισηγήσεις προς το Δ.Σ. του Ο.Δ.Α.Π. και τον Υπουργό Πολιτισμού, κατόπιν πρότασης του Διευθύνοντος Συμβούλου, για τον σχεδιασμό και την αναθεώρηση της τιμολογιακής πολιτικής πρόσβασης σε αρχαιολογικούς χώρους, ιστορικούς τόπους, μνημεία και μουσεία, συμπεριλαμβανομένου του πλαισίου κινήτρων για την ενίσχυση της επισκεψιμότητας αυτών, με σκοπό την αύξηση των εσόδων του Ο.Δ.Α.Π.,</w:t>
      </w:r>
    </w:p>
    <w:p>
      <w:pPr>
        <w:jc w:val="both"/>
      </w:pPr>
      <w:r>
        <w:rPr>
          <w:sz w:val="22"/>
          <w:szCs w:val="22"/>
        </w:rPr>
        <w:t xml:space="preserve">γ) λαμβάνει αποφάσεις, μετά από εισήγηση του Διευθύνοντος Συμβούλου, για τον σχεδιασμό, την εξειδίκευση και την υλοποίηση των διαφόρων τύπων του ενιαίου ψηφιακού εισιτηρίου «Hellenic Heritage Pass», όπως εισιτηρίων τοπικών ή διαδρομών, οικογενειακών και θεματικών, καθώς και εισιτηρίων που συνδυάζουν προϊόντα ή υπηρεσίες τρίτων φορέων,</w:t>
      </w:r>
    </w:p>
    <w:p>
      <w:pPr>
        <w:jc w:val="both"/>
      </w:pPr>
      <w:r>
        <w:rPr>
          <w:sz w:val="22"/>
          <w:szCs w:val="22"/>
        </w:rPr>
        <w:t xml:space="preserve">δ) λαμβάνει αποφάσεις, μετά από εισήγηση του Διευθύνοντος Συμβούλου, εντός της καθορισμένης τιμολογιακής πολιτικής του Υπουργείου Πολιτισμού, για τη χορήγηση κινήτρων για την ενίσχυση της επισκεψιμότητας σε αρχαιολογικούς χώρους, ιστορικούς τόπους, μνημεία και μουσεία των κατηγοριών Γ, Δ και Ε,</w:t>
      </w:r>
    </w:p>
    <w:p>
      <w:pPr>
        <w:jc w:val="both"/>
      </w:pPr>
      <w:r>
        <w:rPr>
          <w:sz w:val="22"/>
          <w:szCs w:val="22"/>
        </w:rPr>
        <w:t xml:space="preserve">ε) έχει τις αρμοδιότητες αποφασίζοντος οργάνου αναθέτουσας αρχής για συμβάσεις προμηθειών και παροχής υπηρεσιών με εκτιμώμενη αξία ανώτερη του ορίου της απευθείας ανάθεσης κατά τον ν. 4412/2016 (Α’ 147), καθώς και για συμβάσεις των εξαιρετικών περιπτώσεων που προβλέπονται από τα άρθρα 7 έως 12 και συμβάσεις των άρθρων 32 και 107 έως 110 του ν. 4412/2016,</w:t>
      </w:r>
    </w:p>
    <w:p>
      <w:pPr>
        <w:jc w:val="both"/>
      </w:pPr>
      <w:r>
        <w:rPr>
          <w:sz w:val="22"/>
          <w:szCs w:val="22"/>
        </w:rPr>
        <w:t xml:space="preserve">στ) εγκρίνει, μετά από εισήγηση του Διευθύνοντος Συμβούλου:</w:t>
      </w:r>
    </w:p>
    <w:p>
      <w:pPr>
        <w:jc w:val="both"/>
      </w:pPr>
      <w:r>
        <w:rPr>
          <w:sz w:val="22"/>
          <w:szCs w:val="22"/>
        </w:rPr>
        <w:t xml:space="preserve">στα) την υλοποίηση των ψηφιακών έργων που ανατίθενται στην Εταιρεία από τον Ο.Δ.Α.Π. ή από το Υπουργείο Πολιτισμού,</w:t>
      </w:r>
    </w:p>
    <w:p>
      <w:pPr>
        <w:jc w:val="both"/>
      </w:pPr>
      <w:r>
        <w:rPr>
          <w:sz w:val="22"/>
          <w:szCs w:val="22"/>
        </w:rPr>
        <w:t xml:space="preserve">στβ) το ύψος της παγίας προκαταβολής ανά εκδοτήριο και πωλητήριο αρχαιολογικού χώρου, ιστορικού τόπου, μνημείου και μουσείου που διαχειρίζεται η Εταιρεία,</w:t>
      </w:r>
    </w:p>
    <w:p>
      <w:pPr>
        <w:jc w:val="both"/>
      </w:pPr>
      <w:r>
        <w:rPr>
          <w:sz w:val="22"/>
          <w:szCs w:val="22"/>
        </w:rPr>
        <w:t xml:space="preserve">στγ) τις τιμές πώλησης, τη δωρεάν ή με έκπτωση διάθεση των πωλούμενων ειδών και το ποσοστό της έκπτωσης στα πωλητήρια που διαχειρίζεται,</w:t>
      </w:r>
    </w:p>
    <w:p>
      <w:pPr>
        <w:jc w:val="both"/>
      </w:pPr>
      <w:r>
        <w:rPr>
          <w:sz w:val="22"/>
          <w:szCs w:val="22"/>
        </w:rPr>
        <w:t xml:space="preserve">στδ) το σχέδιο προγράμματος αξιοποίησης της ακίνητης περιουσίας σύμφωνα με όσα ορίζονται στην παρ. 4 του άρθρου 7,</w:t>
      </w:r>
    </w:p>
    <w:p>
      <w:pPr>
        <w:jc w:val="both"/>
      </w:pPr>
      <w:r>
        <w:rPr>
          <w:sz w:val="22"/>
          <w:szCs w:val="22"/>
        </w:rPr>
        <w:t xml:space="preserve">στε) το σχέδιο προγράμματος ανάπτυξης εργαστηρίων παραγωγής μητρών, φυσικών ή ψηφιακών μοντέλων, πιστοποιημένων ακριβών αντιγράφων ή αντιγράφων, που ανήκουν στον Ο.Δ.Α.Π., και αναβάθμισης και υποστήριξης επισκέψιμων εκθεσιακών χώρων της παρ. 10 του άρθρου 7,</w:t>
      </w:r>
    </w:p>
    <w:p>
      <w:pPr>
        <w:jc w:val="both"/>
      </w:pPr>
      <w:r>
        <w:rPr>
          <w:sz w:val="22"/>
          <w:szCs w:val="22"/>
        </w:rPr>
        <w:t xml:space="preserve">στστ) την ίδρυση φυσικών πωλητηρίων,</w:t>
      </w:r>
    </w:p>
    <w:p>
      <w:pPr>
        <w:jc w:val="both"/>
      </w:pPr>
      <w:r>
        <w:rPr>
          <w:sz w:val="22"/>
          <w:szCs w:val="22"/>
        </w:rPr>
        <w:t xml:space="preserve">στζ) τον σχεδιασμό και την ανάπτυξη εξατομικευμένων υπηρεσιών και εμπειριών γαστρονομίας εντός αρχαιολογικών χώρων, ιστορικών τόπων, μνημείων και μουσείων,</w:t>
      </w:r>
    </w:p>
    <w:p>
      <w:pPr>
        <w:jc w:val="both"/>
      </w:pPr>
      <w:r>
        <w:rPr>
          <w:sz w:val="22"/>
          <w:szCs w:val="22"/>
        </w:rPr>
        <w:t xml:space="preserve">στη) την ανάπτυξη ολοκληρωμένης εμπορικής πολιτικής, στρατηγικής επικοινωνίας και δημοσίων σχέσεων για την προβολή του πολιτιστικού αποθέματος και της καλλιτεχνικής δημιουργίας στο εσωτερικό και στο εξωτερικό, στο πλαίσιο των στρατηγικών σκοπών του Ο.Δ.Α.Π., όπως αυτοί αναφέρονται στην παρ. 1 του άρθρου 2 του ν. 4761/2020 (Α’ 248), καθώς και των ασκούμενων δημόσιων πολιτικών του Υπουργείου Πολιτισμού,</w:t>
      </w:r>
    </w:p>
    <w:p>
      <w:pPr>
        <w:jc w:val="both"/>
      </w:pPr>
      <w:r>
        <w:rPr>
          <w:sz w:val="22"/>
          <w:szCs w:val="22"/>
        </w:rPr>
        <w:t xml:space="preserve">στθ) την υποβολή πρότασης στον Υπουργό Πολιτισμού για την έκδοση απόφασης που καθορίζει τη διαδικασία συλλογής καρπών εντός αρχαιολογικών χώρων για την παραγωγή προϊόντων της αγροδιατροφικής αλυσίδας «Hellenic Heritage»,</w:t>
      </w:r>
    </w:p>
    <w:p>
      <w:pPr>
        <w:jc w:val="both"/>
      </w:pPr>
      <w:r>
        <w:rPr>
          <w:sz w:val="22"/>
          <w:szCs w:val="22"/>
        </w:rPr>
        <w:t xml:space="preserve">στι) την ανάθεση πάσης φύσεως συμβάσεων προμηθειών, παροχής υπηρεσιών και εκπόνησης μελετών σε ιδιώτες χρηματοοικονομικούς και τεχνικούς συμβούλους, καθώς και συμβάσεων παροχής υπηρεσιών σε εξειδικευμένους δικηγόρους και δικηγορικές εταιρείες, με σκοπό την αποτελεσματικότερη εκπλήρωση της αποστολής και των αρμοδιοτήτων της Εταιρείας, ανεξαρτήτως εκτιμώμενης αξίας,</w:t>
      </w:r>
    </w:p>
    <w:p>
      <w:pPr>
        <w:jc w:val="both"/>
      </w:pPr>
      <w:r>
        <w:rPr>
          <w:sz w:val="22"/>
          <w:szCs w:val="22"/>
        </w:rPr>
        <w:t xml:space="preserve">στια) τη σύναψη συμβάσεων μίσθωσης της παρ. 5 του άρθρου 7 και τους ειδικούς όρους εφαρμογής τους,</w:t>
      </w:r>
    </w:p>
    <w:p>
      <w:pPr>
        <w:jc w:val="both"/>
      </w:pPr>
      <w:r>
        <w:rPr>
          <w:sz w:val="22"/>
          <w:szCs w:val="22"/>
        </w:rPr>
        <w:t xml:space="preserve">στιβ) την υποβολή στο Δ.Σ. του Ο.Δ.Α.Π. του ετήσιου προγράμματος αξιοποίησης αρχαιολογικών χώρων, ιστορικών τόπων και μνημείων για τη διοργάνωση εκδηλώσεων ή δράσεων που σχετίζονται με την προαγωγή της τοπικής γαστρονομίας, σύμφωνα με την παρ. 6 του άρθρου 7,</w:t>
      </w:r>
    </w:p>
    <w:p>
      <w:pPr>
        <w:jc w:val="both"/>
      </w:pPr>
      <w:r>
        <w:rPr>
          <w:sz w:val="22"/>
          <w:szCs w:val="22"/>
        </w:rPr>
        <w:t xml:space="preserve">στιγ) την πρόσληψη προσωπικού της Εταιρείας με κάθε σχέση εργασίας,</w:t>
      </w:r>
    </w:p>
    <w:p>
      <w:pPr>
        <w:jc w:val="both"/>
      </w:pPr>
      <w:r>
        <w:rPr>
          <w:sz w:val="22"/>
          <w:szCs w:val="22"/>
        </w:rPr>
        <w:t xml:space="preserve">στιδ) τη σύναψη συμβάσεων μίσθωσης έργου,</w:t>
      </w:r>
    </w:p>
    <w:p>
      <w:pPr>
        <w:jc w:val="both"/>
      </w:pPr>
      <w:r>
        <w:rPr>
          <w:sz w:val="22"/>
          <w:szCs w:val="22"/>
        </w:rPr>
        <w:t xml:space="preserve">στιε) την πέραν του πενθημέρου απασχόληση, την υπερωριακή απασχόληση καθ` υπέρβαση του υποχρεωτικού ωραρίου, την εργασία κατά τις νυχτερινές ώρες ή κατά τις Κυριακές και εξαιρέσιμες ημέρες του προσωπικού της Εταιρείας που απασχολείται στη λειτουργία του συστήματος του ηλεκτρονικού εισιτηρίου για την αμοιβή του οποίου εφαρμόζεται το άρθρο 20 του ν. 4354/2015 (Α’ 176) περί αποζημίωσης για εργασία καθ’ υπέρβαση του υποχρεωτικού ωραρίου και αποζημίωσης για εργασία προς συμπλήρωση του υποχρεωτικού ωραρίου, και</w:t>
      </w:r>
    </w:p>
    <w:p>
      <w:pPr>
        <w:jc w:val="both"/>
      </w:pPr>
      <w:r>
        <w:rPr>
          <w:sz w:val="22"/>
          <w:szCs w:val="22"/>
        </w:rPr>
        <w:t xml:space="preserve">ζ) εγκρίνει, μετά από εισήγηση του Διευθύνοντος Συμβούλου, τη σύναψη προγραμματικών συμβάσεων του άρθρου 100 του ν. 3852/2010 (Α’ 87), προγραμματικών συμφωνιών ή μνημονίων συνεργασίας με φορείς του δημοσίου ή ιδιωτικού τομέα, σύμφωνα με όσα ορίζονται στην περ. α) της παρ. 5 του άρθρου 6, προς εκπλήρωση των σκοπών της Εταιρείας,</w:t>
      </w:r>
    </w:p>
    <w:p>
      <w:pPr>
        <w:jc w:val="both"/>
      </w:pPr>
      <w:r>
        <w:rPr>
          <w:sz w:val="22"/>
          <w:szCs w:val="22"/>
        </w:rPr>
        <w:t xml:space="preserve"> </w:t>
      </w:r>
    </w:p>
    <w:p>
      <w:pPr>
        <w:jc w:val="both"/>
      </w:pPr>
      <w:r>
        <w:rPr>
          <w:sz w:val="22"/>
          <w:szCs w:val="22"/>
          <w:b w:val="1"/>
          <w:bCs w:val="1"/>
        </w:rPr>
        <w:t xml:space="preserve">Άρθρο 12</w:t>
      </w:r>
    </w:p>
    <w:p>
      <w:pPr>
        <w:jc w:val="both"/>
      </w:pPr>
      <w:r>
        <w:rPr>
          <w:sz w:val="22"/>
          <w:szCs w:val="22"/>
          <w:b w:val="1"/>
          <w:bCs w:val="1"/>
        </w:rPr>
        <w:t xml:space="preserve">Λειτουργία Διοικητικού Συμβουλίου</w:t>
      </w:r>
    </w:p>
    <w:p>
      <w:pPr>
        <w:numPr>
          <w:ilvl w:val="0"/>
          <w:numId w:val="12"/>
        </w:numPr>
      </w:pPr>
      <w:r>
        <w:rPr>
          <w:sz w:val="22"/>
          <w:szCs w:val="22"/>
        </w:rPr>
        <w:t xml:space="preserve">Το Διοικητικό Συμβούλιο (Δ.Σ.) συνεδριάζει είτε με φυσική παρουσία στην έδρα της Εταιρείας, είτε διά περιφοράς, είτε με χρήση ηλεκτρονικών μέσων (τηλεδιάσκεψη), κατόπιν ηλεκτρονικής πρόσκλησης του Προέδρου, τακτικά μία (1) φορά τον μήνα και εκτάκτως κάθε φορά που κρίνεται αναγκαίο από τον Διευθύνοντα Σύμβουλο. Η σύγκληση του Δ.Σ. σε έκτακτη συνεδρίαση είναι υποχρεωτική για τον Πρόεδρο του Δ.Σ., αν υποβληθεί αίτημα από δύο (2) τουλάχιστον μέλη του Δ.Σ. Το αίτημα του δεύτερου εδαφίου, στο οποίο αναφέρεται απαραιτήτως το προς συζήτηση θέμα, υποβάλλεται εγγράφως στον Πρόεδρο του Δ.Σ., ο οποίος συγκαλεί το Δ.Σ. σε έκτακτη συνεδρίαση εντός τριών (3) εργάσιμων ημερών.</w:t>
      </w:r>
    </w:p>
    <w:p>
      <w:pPr>
        <w:numPr>
          <w:ilvl w:val="0"/>
          <w:numId w:val="12"/>
        </w:numPr>
      </w:pPr>
      <w:r>
        <w:rPr>
          <w:sz w:val="22"/>
          <w:szCs w:val="22"/>
        </w:rPr>
        <w:t xml:space="preserve">Στην πρόσκληση, η οποία αποστέλλεται στα μέλη τουλάχιστον δύο (2) ημέρες πριν από τη συνεδρίαση, ορίζονται η ημέρα, η ώρα και ο τρόπος της συνεδρίασης, καθώς και τα θέματα και οι εισηγητές της ημερήσιας διάταξης, η οποία καταρτίζεται από τον Διευθύνοντα Σύμβουλο.</w:t>
      </w:r>
    </w:p>
    <w:p>
      <w:pPr>
        <w:numPr>
          <w:ilvl w:val="0"/>
          <w:numId w:val="12"/>
        </w:numPr>
      </w:pPr>
      <w:r>
        <w:rPr>
          <w:sz w:val="22"/>
          <w:szCs w:val="22"/>
        </w:rPr>
        <w:t xml:space="preserve">Εισηγητής για τα θέματα της ημερήσιας διάταξης είναι ο Διευθύνων Σύμβουλος, ο οποίος δύναται να ορίσει ως εισηγητή άλλο μέλος του Δ.Σ. ή προϊστάμενο οργανικής μονάδας της Εταιρείας ή άλλο υπάλληλο της Εταιρείας, εφόσον πρόκειται για ζήτημα για το οποίο έχει γνώση λόγω της θέσης του. Οι έγγραφες εισηγήσεις επί των θεμάτων της ημερήσιας διάταξης, μαζί με τα σχετικά συνοδευτικά έγγραφα, κοινοποιούνται με κάθε πρόσφορο μέσο στα μέλη του Δ.Σ. είκοσι τέσσερις (24) ώρες τουλάχιστον πριν από τη συνεδρίαση.</w:t>
      </w:r>
    </w:p>
    <w:p>
      <w:pPr>
        <w:numPr>
          <w:ilvl w:val="0"/>
          <w:numId w:val="12"/>
        </w:numPr>
      </w:pPr>
      <w:r>
        <w:rPr>
          <w:sz w:val="22"/>
          <w:szCs w:val="22"/>
        </w:rPr>
        <w:t xml:space="preserve">Στις συνεδριάσεις του Δ.Σ. παρίστανται τα μέλη του Δ.Σ., τα οποία έχουν δικαίωμα ψήφου, ο γραμματέας, χωρίς δικαίωμα ψήφου, ο οποίος είναι υπεύθυνος για την τήρηση των πρακτικών, και ο κατά περίπτωση ορισθείς προϊστάμενος οργανικής μονάδας ή υπάλληλος της Εταιρείας, χωρίς δικαίωμα ψήφου, στον οποίο έχει ανατεθεί η εισήγηση για θέμα που συζητείται στο Δ.Σ. Ο γραμματέας είναι υπάλληλος της Εταιρείας και ορίζεται με απόφαση του Δ.Σ., μετά από πρόταση του Διευθύνοντος Συμβούλου. Στις συνεδριάσεις του Δ.Σ. δύνανται να συμμετέχουν, χωρίς δικαίωμα ψήφου, κατόπιν πρόσκλησης του Διευθύνοντος Συμβούλου, ο προϊστάμενος της διεύθυνσης νομικής υποστήριξης της Εταιρείας ή άλλος νομικός σύμβουλος ή δικηγόρος με έμμισθη εντολή της Εταιρείας, καθώς και τρίτα πρόσωπα προς παροχή πληροφοριών ή προσκόμιση στοιχείων για θέμα που συζητείται στο Δ.Σ.</w:t>
      </w:r>
    </w:p>
    <w:p>
      <w:pPr>
        <w:numPr>
          <w:ilvl w:val="0"/>
          <w:numId w:val="12"/>
        </w:numPr>
      </w:pPr>
      <w:r>
        <w:rPr>
          <w:sz w:val="22"/>
          <w:szCs w:val="22"/>
        </w:rPr>
        <w:t xml:space="preserve">Το Διοικητικό Συμβούλιο βρίσκεται σε απαρτία και συνεδριάζει εγκύρως όταν παρίστανται ή εκπροσωπούνται σε αυτό το ήμισυ πλέον ενός του συνολικού αριθμού των μελών του, μεταξύ των οποίων ένα (1) τουλάχιστον ανεξάρτητο μη εκτελεστικό μέλος.</w:t>
      </w:r>
    </w:p>
    <w:p>
      <w:pPr>
        <w:numPr>
          <w:ilvl w:val="0"/>
          <w:numId w:val="12"/>
        </w:numPr>
      </w:pPr>
      <w:r>
        <w:rPr>
          <w:sz w:val="22"/>
          <w:szCs w:val="22"/>
        </w:rPr>
        <w:t xml:space="preserve">Ο Πρόεδρος δύναται με απόφασή του να ορίζει τον νόμιμο αναπληρωτή του σε περίπτωση απουσίας ή κωλύματός του.</w:t>
      </w:r>
    </w:p>
    <w:p>
      <w:pPr>
        <w:numPr>
          <w:ilvl w:val="0"/>
          <w:numId w:val="12"/>
        </w:numPr>
      </w:pPr>
      <w:r>
        <w:rPr>
          <w:sz w:val="22"/>
          <w:szCs w:val="22"/>
        </w:rPr>
        <w:t xml:space="preserve">Για κάθε άλλο ζήτημα σχετικό με τις συνεδριάσεις του Δ.Σ. και τη λήψη των αποφάσεών του εφαρμόζονται αναλόγως τα άρθρα 77 έως 95 του ν. 4548/2018 (Α’ 104).</w:t>
      </w:r>
    </w:p>
    <w:p>
      <w:pPr>
        <w:jc w:val="both"/>
      </w:pPr>
      <w:r>
        <w:rPr>
          <w:sz w:val="22"/>
          <w:szCs w:val="22"/>
        </w:rPr>
        <w:t xml:space="preserve"> </w:t>
      </w:r>
    </w:p>
    <w:p>
      <w:pPr>
        <w:jc w:val="both"/>
      </w:pPr>
      <w:r>
        <w:rPr>
          <w:sz w:val="22"/>
          <w:szCs w:val="22"/>
          <w:b w:val="1"/>
          <w:bCs w:val="1"/>
        </w:rPr>
        <w:t xml:space="preserve">Άρθρο 13</w:t>
      </w:r>
    </w:p>
    <w:p>
      <w:pPr>
        <w:jc w:val="both"/>
      </w:pPr>
      <w:r>
        <w:rPr>
          <w:sz w:val="22"/>
          <w:szCs w:val="22"/>
          <w:b w:val="1"/>
          <w:bCs w:val="1"/>
        </w:rPr>
        <w:t xml:space="preserve">Διευθύνων Σύμβουλος</w:t>
      </w:r>
    </w:p>
    <w:p>
      <w:pPr>
        <w:numPr>
          <w:ilvl w:val="0"/>
          <w:numId w:val="13"/>
        </w:numPr>
      </w:pPr>
      <w:r>
        <w:rPr>
          <w:sz w:val="22"/>
          <w:szCs w:val="22"/>
        </w:rPr>
        <w:t xml:space="preserve">Ο Διευθύνων Σύμβουλος είναι πλήρους και αποκλειστικής απασχόλησης και έχει τις εξής αρμοδιότητες:</w:t>
      </w:r>
    </w:p>
    <w:p>
      <w:pPr>
        <w:jc w:val="both"/>
      </w:pPr>
      <w:r>
        <w:rPr>
          <w:sz w:val="22"/>
          <w:szCs w:val="22"/>
        </w:rPr>
        <w:t xml:space="preserve">α) μεριμνά για την εφαρμογή του άρθρου 18 του ν. 4972/2022 (Α’ 181), περί στρατηγικού και επιχειρησιακού σχεδίου,</w:t>
      </w:r>
    </w:p>
    <w:p>
      <w:pPr>
        <w:jc w:val="both"/>
      </w:pPr>
      <w:r>
        <w:rPr>
          <w:sz w:val="22"/>
          <w:szCs w:val="22"/>
        </w:rPr>
        <w:t xml:space="preserve">β) λαμβάνει τα αναγκαία μέτρα και μεριμνά για την υλοποίηση των αποφάσεων του Διοικητικού Συμβουλίου (Δ.Σ.) και του συνολικού έργου της Εταιρείας, επικουρούμενος από τις αρμόδιες υπηρεσίες της Εταιρείας,</w:t>
      </w:r>
    </w:p>
    <w:p>
      <w:pPr>
        <w:jc w:val="both"/>
      </w:pPr>
      <w:r>
        <w:rPr>
          <w:sz w:val="22"/>
          <w:szCs w:val="22"/>
        </w:rPr>
        <w:t xml:space="preserve">γ) εκπροσωπεί νόμιμα την Εταιρεία στις σχέσεις της με τις διοικητικές αρχές, καθώς και στις σχέσεις της με ιδιωτικούς και δημόσιους φορείς και οργανισμούς της ημεδαπής και της αλλοδαπής,</w:t>
      </w:r>
    </w:p>
    <w:p>
      <w:pPr>
        <w:jc w:val="both"/>
      </w:pPr>
      <w:r>
        <w:rPr>
          <w:sz w:val="22"/>
          <w:szCs w:val="22"/>
        </w:rPr>
        <w:t xml:space="preserve">δ) υπογράφει, κατόπιν έγκρισης του Δ.Σ., συμβάσεις, προγραμματικές συμφωνίες, μνημόνια και πρωτόκολλα συνεργασίας με τρίτους, που αφορούν στην πολιτική και στους στρατηγικούς στόχους της Εταιρείας,</w:t>
      </w:r>
    </w:p>
    <w:p>
      <w:pPr>
        <w:jc w:val="both"/>
      </w:pPr>
      <w:r>
        <w:rPr>
          <w:sz w:val="22"/>
          <w:szCs w:val="22"/>
        </w:rPr>
        <w:t xml:space="preserve">ε) εισηγείται στο Δ.Σ. για τα θέματα της ημερήσιας διάταξης των συνεδριάσεών του, σύμφωνα με την παρ. 3 του άρθρου 12,</w:t>
      </w:r>
    </w:p>
    <w:p>
      <w:pPr>
        <w:jc w:val="both"/>
      </w:pPr>
      <w:r>
        <w:rPr>
          <w:sz w:val="22"/>
          <w:szCs w:val="22"/>
        </w:rPr>
        <w:t xml:space="preserve">στ) προΐσταται όλων των υπηρεσιών της Εταιρείας και συντονίζει το έργο τους,</w:t>
      </w:r>
    </w:p>
    <w:p>
      <w:pPr>
        <w:jc w:val="both"/>
      </w:pPr>
      <w:r>
        <w:rPr>
          <w:sz w:val="22"/>
          <w:szCs w:val="22"/>
        </w:rPr>
        <w:t xml:space="preserve">ζ) αποφασίζει την τοποθέτηση ή τον διορισμό των προϊσταμένων των οργανικών μονάδων της Εταιρείας κάθε επιπέδου,</w:t>
      </w:r>
    </w:p>
    <w:p>
      <w:pPr>
        <w:jc w:val="both"/>
      </w:pPr>
      <w:r>
        <w:rPr>
          <w:sz w:val="22"/>
          <w:szCs w:val="22"/>
        </w:rPr>
        <w:t xml:space="preserve">η) υπογράφει, κατόπιν έγκρισης του Δ.Σ., κάθε σύμβαση και κάθε σχετικό έγγραφο για την πρόσληψη και την απόλυση του προσωπικού, καθώς και για τη σύναψη ή καταγγελία συμβάσεων με συνεργάτες, νομικούς συμβούλους και δικηγόρους με έμμισθη εντολή της Εταιρείας,</w:t>
      </w:r>
    </w:p>
    <w:p>
      <w:pPr>
        <w:jc w:val="both"/>
      </w:pPr>
      <w:r>
        <w:rPr>
          <w:sz w:val="22"/>
          <w:szCs w:val="22"/>
        </w:rPr>
        <w:t xml:space="preserve">θ) είναι ο διατάκτης των πιστώσεων της Εταιρείας, σύμφωνα με το άρθρο 65 του ν. 4270/2014 (Α’ 143),</w:t>
      </w:r>
    </w:p>
    <w:p>
      <w:pPr>
        <w:jc w:val="both"/>
      </w:pPr>
      <w:r>
        <w:rPr>
          <w:sz w:val="22"/>
          <w:szCs w:val="22"/>
        </w:rPr>
        <w:t xml:space="preserve">ι) εντέλλει και υπογράφει όλες τις διενεργούμενες δαπάνες και κινεί όλους τους τραπεζικούς λογαριασμούς της Εταιρείας.</w:t>
      </w:r>
    </w:p>
    <w:p>
      <w:pPr>
        <w:numPr>
          <w:ilvl w:val="0"/>
          <w:numId w:val="14"/>
        </w:numPr>
      </w:pPr>
      <w:r>
        <w:rPr>
          <w:sz w:val="22"/>
          <w:szCs w:val="22"/>
        </w:rPr>
        <w:t xml:space="preserve">Ο Διευθύνων Σύμβουλος ασκεί επίσης κάθε άλλη αρμοδιότητα που ανατίθεται σε αυτόν ρητά από τον παρόντα ή άλλους νόμους και τις αρμοδιότητες που του μεταβιβάζονται με απόφαση του Δ.Σ.</w:t>
      </w:r>
    </w:p>
    <w:p>
      <w:pPr>
        <w:jc w:val="both"/>
      </w:pPr>
      <w:r>
        <w:rPr>
          <w:sz w:val="22"/>
          <w:szCs w:val="22"/>
        </w:rPr>
        <w:t xml:space="preserve"> </w:t>
      </w:r>
    </w:p>
    <w:p>
      <w:pPr>
        <w:jc w:val="both"/>
      </w:pPr>
      <w:r>
        <w:rPr>
          <w:sz w:val="22"/>
          <w:szCs w:val="22"/>
          <w:b w:val="1"/>
          <w:bCs w:val="1"/>
        </w:rPr>
        <w:t xml:space="preserve">Άρθρο 14</w:t>
      </w:r>
    </w:p>
    <w:p>
      <w:pPr>
        <w:jc w:val="both"/>
      </w:pPr>
      <w:r>
        <w:rPr>
          <w:sz w:val="22"/>
          <w:szCs w:val="22"/>
          <w:b w:val="1"/>
          <w:bCs w:val="1"/>
        </w:rPr>
        <w:t xml:space="preserve">Αμοιβές και αποζημιώσεις μελών Διοικητικού Συμβουλίου – Επιτροπή αποδοχών</w:t>
      </w:r>
    </w:p>
    <w:p>
      <w:pPr>
        <w:numPr>
          <w:ilvl w:val="0"/>
          <w:numId w:val="15"/>
        </w:numPr>
      </w:pPr>
      <w:r>
        <w:rPr>
          <w:sz w:val="22"/>
          <w:szCs w:val="22"/>
        </w:rPr>
        <w:t xml:space="preserve">Για τις αμοιβές και τις αποζημιώσεις των μελών του Διοικητικού Συμβουλίου της Εταιρείας, καθώς και των μελών της Επιτροπής Ελέγχου της παρ. 5 του άρθρου 18 του παρόντος, εφαρμόζεται το άρθρο 11 του ν. 4972/2022 (Α’ 181), περί αμοιβών και αποζημιώσεων μελών Διοικητικού Συμβουλίου και επιτροπής ελέγχου.</w:t>
      </w:r>
    </w:p>
    <w:p>
      <w:pPr>
        <w:numPr>
          <w:ilvl w:val="0"/>
          <w:numId w:val="15"/>
        </w:numPr>
      </w:pPr>
      <w:r>
        <w:rPr>
          <w:sz w:val="22"/>
          <w:szCs w:val="22"/>
        </w:rPr>
        <w:t xml:space="preserve">Στην Εταιρεία συστήνεται επιτροπή αποδοχών, σύμφωνα με το άρθρο 12 του ν. 4972/2022.</w:t>
      </w:r>
    </w:p>
    <w:p>
      <w:pPr>
        <w:jc w:val="both"/>
      </w:pPr>
      <w:r>
        <w:rPr>
          <w:sz w:val="22"/>
          <w:szCs w:val="22"/>
        </w:rPr>
        <w:t xml:space="preserve"> </w:t>
      </w:r>
    </w:p>
    <w:p>
      <w:pPr>
        <w:jc w:val="both"/>
      </w:pPr>
      <w:r>
        <w:rPr>
          <w:sz w:val="22"/>
          <w:szCs w:val="22"/>
          <w:b w:val="1"/>
          <w:bCs w:val="1"/>
        </w:rPr>
        <w:t xml:space="preserve">Άρθρο 15</w:t>
      </w:r>
    </w:p>
    <w:p>
      <w:pPr>
        <w:jc w:val="both"/>
      </w:pPr>
      <w:r>
        <w:rPr>
          <w:sz w:val="22"/>
          <w:szCs w:val="22"/>
          <w:b w:val="1"/>
          <w:bCs w:val="1"/>
        </w:rPr>
        <w:t xml:space="preserve">Γενική Συνέλευση</w:t>
      </w:r>
    </w:p>
    <w:p>
      <w:pPr>
        <w:jc w:val="both"/>
      </w:pPr>
      <w:r>
        <w:rPr>
          <w:sz w:val="22"/>
          <w:szCs w:val="22"/>
        </w:rPr>
        <w:t xml:space="preserve">Για τη Γενική Συνέλευση εφαρμόζεται το άρθρο 13 του ν. 4972/2022 (Α’ 181), περί Γενικής Συνέλευσης.</w:t>
      </w:r>
    </w:p>
    <w:p>
      <w:pPr>
        <w:jc w:val="both"/>
      </w:pPr>
      <w:r>
        <w:rPr>
          <w:sz w:val="22"/>
          <w:szCs w:val="22"/>
        </w:rPr>
        <w:t xml:space="preserve"> </w:t>
      </w:r>
    </w:p>
    <w:p>
      <w:pPr>
        <w:jc w:val="both"/>
      </w:pPr>
      <w:r>
        <w:rPr>
          <w:sz w:val="22"/>
          <w:szCs w:val="22"/>
          <w:b w:val="1"/>
          <w:bCs w:val="1"/>
        </w:rPr>
        <w:t xml:space="preserve">ΚΕΦΑΛΑΙΟ Δ’</w:t>
      </w:r>
    </w:p>
    <w:p>
      <w:pPr>
        <w:jc w:val="both"/>
      </w:pPr>
      <w:r>
        <w:rPr>
          <w:sz w:val="22"/>
          <w:szCs w:val="22"/>
          <w:b w:val="1"/>
          <w:bCs w:val="1"/>
        </w:rPr>
        <w:t xml:space="preserve">ΜΕΤΟΧΙΚΟ ΚΕΦΑΛΑΙΟ – ΠΟΡΟΙ –</w:t>
      </w:r>
    </w:p>
    <w:p>
      <w:pPr>
        <w:jc w:val="both"/>
      </w:pPr>
      <w:r>
        <w:rPr>
          <w:sz w:val="22"/>
          <w:szCs w:val="22"/>
          <w:b w:val="1"/>
          <w:bCs w:val="1"/>
        </w:rPr>
        <w:t xml:space="preserve">ΟΙΚΟΝΟΜΙΚΗ ΔΙΑΧΕΙΡΙΣΗ</w:t>
      </w:r>
    </w:p>
    <w:p>
      <w:pPr>
        <w:jc w:val="both"/>
      </w:pPr>
      <w:r>
        <w:rPr>
          <w:sz w:val="22"/>
          <w:szCs w:val="22"/>
          <w:b w:val="1"/>
          <w:bCs w:val="1"/>
        </w:rPr>
        <w:t xml:space="preserve"> </w:t>
      </w:r>
    </w:p>
    <w:p>
      <w:pPr>
        <w:jc w:val="both"/>
      </w:pPr>
      <w:r>
        <w:rPr>
          <w:sz w:val="22"/>
          <w:szCs w:val="22"/>
          <w:b w:val="1"/>
          <w:bCs w:val="1"/>
        </w:rPr>
        <w:t xml:space="preserve">Άρθρο 16</w:t>
      </w:r>
    </w:p>
    <w:p>
      <w:pPr>
        <w:jc w:val="both"/>
      </w:pPr>
      <w:r>
        <w:rPr>
          <w:sz w:val="22"/>
          <w:szCs w:val="22"/>
          <w:b w:val="1"/>
          <w:bCs w:val="1"/>
        </w:rPr>
        <w:t xml:space="preserve">Μετοχικό κεφάλαιο – Μετοχές</w:t>
      </w:r>
    </w:p>
    <w:p>
      <w:pPr>
        <w:numPr>
          <w:ilvl w:val="0"/>
          <w:numId w:val="16"/>
        </w:numPr>
      </w:pPr>
      <w:r>
        <w:rPr>
          <w:sz w:val="22"/>
          <w:szCs w:val="22"/>
        </w:rPr>
        <w:t xml:space="preserve">Το μετοχικό κεφάλαιο της Εταιρείας ορίζεται σε τρία εκατομμύρια (3.000.000) ευρώ, διαιρείται σε τριάντα χιλιάδες (30.000) αμεταβίβαστες ονομαστικές μετοχές αξίας εκατό (100) ευρώ η καθεμία και καλύπτεται κατά ποσοστό ενενήντα τοις εκατό (90%) από το Ελληνικό Δημόσιο και κατά ποσοστό δέκα τοις εκατό (10%) από τον Ο.Δ.Α.Π. Το μετοχικό κεφάλαιο δύναται να αυξηθεί με απόφαση της Γενικής Συνέλευσης (Γ.Σ.), μετά από πρόταση του Διοικητικού Συμβουλίου (Δ.Σ.) και υπό την προϋπόθεση της συμμετοχής στην αύξηση καθενός από τους υφιστάμενους μετόχους.</w:t>
      </w:r>
    </w:p>
    <w:p>
      <w:pPr>
        <w:numPr>
          <w:ilvl w:val="0"/>
          <w:numId w:val="16"/>
        </w:numPr>
      </w:pPr>
      <w:r>
        <w:rPr>
          <w:sz w:val="22"/>
          <w:szCs w:val="22"/>
        </w:rPr>
        <w:t xml:space="preserve">Το Ελληνικό Δημόσιο εκπροσωπείται στη Γ.Σ. από τον Υπουργό Εθνικής Οικονομίας και Οικονομικών και τον Υπουργό Πολιτισμού και ο Ο.Δ.Α.Π. εκπροσωπείται στη Γ.Σ. από τον Πρόεδρο του Δ.Σ. του.</w:t>
      </w:r>
    </w:p>
    <w:p>
      <w:pPr>
        <w:numPr>
          <w:ilvl w:val="0"/>
          <w:numId w:val="16"/>
        </w:numPr>
      </w:pPr>
      <w:r>
        <w:rPr>
          <w:sz w:val="22"/>
          <w:szCs w:val="22"/>
        </w:rPr>
        <w:t xml:space="preserve">Το μετοχικό κεφάλαιο κατατίθεται άπαξ σε ειδικό λογαριασμό που τηρείται στο όνομα της Εταιρείας εντός δύο (2) μηνών από τη σύστασή της και την καταχώριση του καταστατικού της στο Γ.Ε.ΜΗ.</w:t>
      </w:r>
    </w:p>
    <w:p>
      <w:pPr>
        <w:numPr>
          <w:ilvl w:val="0"/>
          <w:numId w:val="16"/>
        </w:numPr>
      </w:pPr>
      <w:r>
        <w:rPr>
          <w:sz w:val="22"/>
          <w:szCs w:val="22"/>
        </w:rPr>
        <w:t xml:space="preserve">Το ποσοστό συμμετοχής του Ελληνικού Δημοσίου στο μετοχικό κεφάλαιο της Εταιρείας δεν μπορεί σε καμία περίπτωση να είναι κατώτερο του ενενήντα τοις εκατό (90%) του εκάστοτε μετοχικού κεφαλαίου αυτής.</w:t>
      </w:r>
    </w:p>
    <w:p>
      <w:pPr>
        <w:numPr>
          <w:ilvl w:val="0"/>
          <w:numId w:val="16"/>
        </w:numPr>
      </w:pPr>
      <w:r>
        <w:rPr>
          <w:sz w:val="22"/>
          <w:szCs w:val="22"/>
        </w:rPr>
        <w:t xml:space="preserve">Το ποσοστό της παρ. 4 δεν μπορεί να τροποποιηθεί με απόφαση της Γ.Σ. της Εταιρείας.</w:t>
      </w:r>
    </w:p>
    <w:p>
      <w:pPr>
        <w:jc w:val="both"/>
      </w:pPr>
      <w:r>
        <w:rPr>
          <w:sz w:val="22"/>
          <w:szCs w:val="22"/>
        </w:rPr>
        <w:t xml:space="preserve"> </w:t>
      </w:r>
    </w:p>
    <w:p>
      <w:pPr>
        <w:jc w:val="both"/>
      </w:pPr>
      <w:r>
        <w:rPr>
          <w:sz w:val="22"/>
          <w:szCs w:val="22"/>
          <w:b w:val="1"/>
          <w:bCs w:val="1"/>
        </w:rPr>
        <w:t xml:space="preserve">Άρθρο 17</w:t>
      </w:r>
    </w:p>
    <w:p>
      <w:pPr>
        <w:jc w:val="both"/>
      </w:pPr>
      <w:r>
        <w:rPr>
          <w:sz w:val="22"/>
          <w:szCs w:val="22"/>
          <w:b w:val="1"/>
          <w:bCs w:val="1"/>
        </w:rPr>
        <w:t xml:space="preserve">Πόροι – Έσοδα</w:t>
      </w:r>
    </w:p>
    <w:p>
      <w:pPr>
        <w:numPr>
          <w:ilvl w:val="0"/>
          <w:numId w:val="17"/>
        </w:numPr>
      </w:pPr>
      <w:r>
        <w:rPr>
          <w:sz w:val="22"/>
          <w:szCs w:val="22"/>
        </w:rPr>
        <w:t xml:space="preserve">Πόροι της Εταιρείας είναι:</w:t>
      </w:r>
    </w:p>
    <w:p>
      <w:pPr>
        <w:jc w:val="both"/>
      </w:pPr>
      <w:r>
        <w:rPr>
          <w:sz w:val="22"/>
          <w:szCs w:val="22"/>
        </w:rPr>
        <w:t xml:space="preserve">α) η τακτική και έκτακτη επιχορήγηση από τον Ο.Δ.Α.Π.,</w:t>
      </w:r>
    </w:p>
    <w:p>
      <w:pPr>
        <w:jc w:val="both"/>
      </w:pPr>
      <w:r>
        <w:rPr>
          <w:sz w:val="22"/>
          <w:szCs w:val="22"/>
        </w:rPr>
        <w:t xml:space="preserve">β) η τακτική και έκτακτη επιχορήγηση από τον κρατικό προϋπολογισμό,</w:t>
      </w:r>
    </w:p>
    <w:p>
      <w:pPr>
        <w:jc w:val="both"/>
      </w:pPr>
      <w:r>
        <w:rPr>
          <w:sz w:val="22"/>
          <w:szCs w:val="22"/>
        </w:rPr>
        <w:t xml:space="preserve">γ) οι έκτακτες χρηματοδοτήσεις και επιχορηγήσεις από την Ευρωπαϊκή Ένωση και διεθνείς οργανισμούς,</w:t>
      </w:r>
    </w:p>
    <w:p>
      <w:pPr>
        <w:jc w:val="both"/>
      </w:pPr>
      <w:r>
        <w:rPr>
          <w:sz w:val="22"/>
          <w:szCs w:val="22"/>
        </w:rPr>
        <w:t xml:space="preserve">δ) το Αναπτυξιακό Πρόγραμμα Δημοσίων Επενδύσεων, το οποίο χρηματοδοτείται από τον Προϋπολογισμό Δημοσίων Επενδύσεων,</w:t>
      </w:r>
    </w:p>
    <w:p>
      <w:pPr>
        <w:jc w:val="both"/>
      </w:pPr>
      <w:r>
        <w:rPr>
          <w:sz w:val="22"/>
          <w:szCs w:val="22"/>
        </w:rPr>
        <w:t xml:space="preserve">ε) οι χρηματοδοτήσεις από άλλους δημόσιους ή ιδιωτικούς φορείς για συγκεκριμένες δράσεις ή χρηματοδοτήσεις από προγράμματα ή επιχορηγήσεις της Ευρωπαϊκής Ένωσης και διεθνών οργανισμών και χρηματοδοτήσεις από τη συμμετοχή της Εταιρείας με οποιαδήποτε ιδιότητα στην υλοποίηση ευρωπαϊκών προγραμμάτων,</w:t>
      </w:r>
    </w:p>
    <w:p>
      <w:pPr>
        <w:jc w:val="both"/>
      </w:pPr>
      <w:r>
        <w:rPr>
          <w:sz w:val="22"/>
          <w:szCs w:val="22"/>
        </w:rPr>
        <w:t xml:space="preserve">στ) οι χρηματοδοτήσεις από τη συμμετοχή της σε ερευνητικά προγράμματα,</w:t>
      </w:r>
    </w:p>
    <w:p>
      <w:pPr>
        <w:jc w:val="both"/>
      </w:pPr>
      <w:r>
        <w:rPr>
          <w:sz w:val="22"/>
          <w:szCs w:val="22"/>
        </w:rPr>
        <w:t xml:space="preserve">ζ) οι κληρονομιές, κληροδοσίες, δωρεές, χορηγίες και λοιπές παροχές από χαριστική αιτία προς την Εταιρεία,</w:t>
      </w:r>
    </w:p>
    <w:p>
      <w:pPr>
        <w:jc w:val="both"/>
      </w:pPr>
      <w:r>
        <w:rPr>
          <w:sz w:val="22"/>
          <w:szCs w:val="22"/>
        </w:rPr>
        <w:t xml:space="preserve">η) τα έσοδα από την παροχή των υπηρεσιών και προϊόντων της σε νομικά πρόσωπα δημοσίου ή ιδιωτικού δικαίου και σε ιδιώτες,</w:t>
      </w:r>
    </w:p>
    <w:p>
      <w:pPr>
        <w:jc w:val="both"/>
      </w:pPr>
      <w:r>
        <w:rPr>
          <w:sz w:val="22"/>
          <w:szCs w:val="22"/>
        </w:rPr>
        <w:t xml:space="preserve">θ) τα έσοδα από την εκμίσθωση, εκμετάλλευση και εν γένει διαχείριση των περιουσιακών στοιχείων της,</w:t>
      </w:r>
    </w:p>
    <w:p>
      <w:pPr>
        <w:jc w:val="both"/>
      </w:pPr>
      <w:r>
        <w:rPr>
          <w:sz w:val="22"/>
          <w:szCs w:val="22"/>
        </w:rPr>
        <w:t xml:space="preserve">ι) τα έσοδα από τη διαχείριση των διαθεσίμων της,</w:t>
      </w:r>
    </w:p>
    <w:p>
      <w:pPr>
        <w:jc w:val="both"/>
      </w:pPr>
      <w:r>
        <w:rPr>
          <w:sz w:val="22"/>
          <w:szCs w:val="22"/>
        </w:rPr>
        <w:t xml:space="preserve">ια) τα έσοδα που συνδέονται με την εκτέλεση των συμβάσεων προμηθειών ή υπηρεσιών που συνάπτει για δικό της λογαριασμό ιδίως αυτά που αφορούν στην αθέτηση των όρων τους, σε ποινικές ρήτρες και σε κατάπτωση εγγυητικών επιστολών,</w:t>
      </w:r>
    </w:p>
    <w:p>
      <w:pPr>
        <w:jc w:val="both"/>
      </w:pPr>
      <w:r>
        <w:rPr>
          <w:sz w:val="22"/>
          <w:szCs w:val="22"/>
        </w:rPr>
        <w:t xml:space="preserve">ιβ) η διαχειριστική αμοιβή και οι λειτουργικές δαπάνες που εισπράττει από τον Ο.Δ.Α.Π., σύμφωνα με όσα ορίζονται στην παρ. 8 του άρθρου 6,</w:t>
      </w:r>
    </w:p>
    <w:p>
      <w:pPr>
        <w:jc w:val="both"/>
      </w:pPr>
      <w:r>
        <w:rPr>
          <w:sz w:val="22"/>
          <w:szCs w:val="22"/>
        </w:rPr>
        <w:t xml:space="preserve">ιγ) οι πρόσοδοι και οι τόκοι καταθέσεων σε πιστωτικά ιδρύματα,</w:t>
      </w:r>
    </w:p>
    <w:p>
      <w:pPr>
        <w:jc w:val="both"/>
      </w:pPr>
      <w:r>
        <w:rPr>
          <w:sz w:val="22"/>
          <w:szCs w:val="22"/>
        </w:rPr>
        <w:t xml:space="preserve">ιδ) κάθε χρηματοδότηση που συνδέεται με τη συμμετοχή της σε προγράμματα χρηματοδοτούμενα από χρηματοπιστωτικά ιδρύματα, την Ευρωπαϊκή Ένωση ή διεθνείς οργανισμούς, και δεν εμπίπτει στην περ. δ),</w:t>
      </w:r>
    </w:p>
    <w:p>
      <w:pPr>
        <w:jc w:val="both"/>
      </w:pPr>
      <w:r>
        <w:rPr>
          <w:sz w:val="22"/>
          <w:szCs w:val="22"/>
        </w:rPr>
        <w:t xml:space="preserve">ιε) τα έσοδα από κάθε άλλη νόμιμη αιτία.</w:t>
      </w:r>
    </w:p>
    <w:p>
      <w:pPr>
        <w:numPr>
          <w:ilvl w:val="0"/>
          <w:numId w:val="18"/>
        </w:numPr>
      </w:pPr>
      <w:r>
        <w:rPr>
          <w:sz w:val="22"/>
          <w:szCs w:val="22"/>
        </w:rPr>
        <w:t xml:space="preserve">Ο Ο.Δ.Α.Π. υποχρεούται, εντός δύο (2) μηνών από την έναρξη εκάστου ημερολογιακού έτους, να προκαταβάλλει στην Εταιρεία το σύνολο της ετήσιας διαχειριστικής αμοιβής της, καθώς και το ογδόντα τοις εκατό (80%) των ετήσιων λειτουργικών της δαπανών για τις εργασίες στις οποίες αυτή προβαίνει για λογαριασμό του Ο.Δ.Α.Π., όπως αυτές καθορίζονται με την προγραμματική σύμβαση της παρ. 8 του άρθρου 6. Το υπόλοιπο είκοσι τοις εκατό (20%) των ετήσιων λειτουργικών δαπανών του πρώτου εδαφίου καταβάλλεται στην Εταιρεία εντός του τελευταίου τριμήνου εκάστου ημερολογιακού έτους. Για την προκαταβολή του ποσού της ετήσιας διαχειριστικής αμοιβής και των ετήσιων λειτουργικών δαπανών της Εταιρείας δεν απαιτείται η υποβολή οποιασδήποτε εγγύησης από την Εταιρεία.</w:t>
      </w:r>
    </w:p>
    <w:p>
      <w:pPr>
        <w:numPr>
          <w:ilvl w:val="0"/>
          <w:numId w:val="18"/>
        </w:numPr>
      </w:pPr>
      <w:r>
        <w:rPr>
          <w:sz w:val="22"/>
          <w:szCs w:val="22"/>
        </w:rPr>
        <w:t xml:space="preserve">Διαχειριστής εσόδων είναι ο υπάλληλος της Εταιρείας, ο οποίος έχει την ευθύνη δημοσίου υπολόγου, κατά την έννοια του άρθρου 150 του ν. 4270/2014 (Α’ 143), έναντι της Εταιρείας για το σύνολο της χρηματικής αξίας των προϊόντων και υπηρεσιών που διακινούνται στον χώρο ευθύνης του, έχει την εποπτεία των ταμιών του εκδοτηρίου ή των εκδοτηρίων του χώρου ευθύνης του και της ορθής απόδοσης των εισπράξεων σε αυτόν, ορίζεται με απόφαση του Δ.Σ. της Εταιρείας, η οποία κοινοποιείται στη Διεύθυνση Διαχείρισης Οικονομικών Πόρων του Ο.Δ.Α.Π., και είναι αρμόδιος για την τήρηση του εγχειριδίου χρήσης της εφαρμογής του ηλεκτρονικού εισιτηρίου και τη διαχείριση της παγίας προκαταβολής.</w:t>
      </w:r>
    </w:p>
    <w:p>
      <w:pPr>
        <w:numPr>
          <w:ilvl w:val="0"/>
          <w:numId w:val="18"/>
        </w:numPr>
      </w:pPr>
      <w:r>
        <w:rPr>
          <w:sz w:val="22"/>
          <w:szCs w:val="22"/>
        </w:rPr>
        <w:t xml:space="preserve">Ταμίας είναι ο υπάλληλος της Εταιρείας, ο οποίος έχει την ευθύνη δημοσίου υπολόγου, κατά την έννοια του άρθρου 150 του ν. 4270/2014, έναντι της Εταιρείας για τη διαχείριση της οικονομικής λειτουργίας του ταμείου που του έχει ανατεθεί για το χρονικό διάστημα που διαρκεί η βάρδια εργασίας του, μετά το πέρας της οποίας αποδίδει το σύνολο των εισπράξεων στον αρμόδιο διαχειριστή εσόδων.</w:t>
      </w:r>
    </w:p>
    <w:p>
      <w:pPr>
        <w:jc w:val="both"/>
      </w:pPr>
      <w:r>
        <w:rPr>
          <w:sz w:val="22"/>
          <w:szCs w:val="22"/>
        </w:rPr>
        <w:t xml:space="preserve"> </w:t>
      </w:r>
    </w:p>
    <w:p>
      <w:pPr>
        <w:jc w:val="both"/>
      </w:pPr>
      <w:r>
        <w:rPr>
          <w:sz w:val="22"/>
          <w:szCs w:val="22"/>
          <w:b w:val="1"/>
          <w:bCs w:val="1"/>
        </w:rPr>
        <w:t xml:space="preserve">Άρθρο 18</w:t>
      </w:r>
    </w:p>
    <w:p>
      <w:pPr>
        <w:jc w:val="both"/>
      </w:pPr>
      <w:r>
        <w:rPr>
          <w:sz w:val="22"/>
          <w:szCs w:val="22"/>
          <w:b w:val="1"/>
          <w:bCs w:val="1"/>
        </w:rPr>
        <w:t xml:space="preserve">Οικονομική διαχείριση – Οικονομικός έλεγχος</w:t>
      </w:r>
    </w:p>
    <w:p>
      <w:pPr>
        <w:numPr>
          <w:ilvl w:val="0"/>
          <w:numId w:val="19"/>
        </w:numPr>
      </w:pPr>
      <w:r>
        <w:rPr>
          <w:sz w:val="22"/>
          <w:szCs w:val="22"/>
        </w:rPr>
        <w:t xml:space="preserve">Η διαχειριστική χρήση της Εταιρείας αρχίζει την 1η Ιανουαρίου κάθε έτους και τελειώνει την 31η Δεκεμβρίου του ίδιου έτους.</w:t>
      </w:r>
    </w:p>
    <w:p>
      <w:pPr>
        <w:numPr>
          <w:ilvl w:val="0"/>
          <w:numId w:val="19"/>
        </w:numPr>
      </w:pPr>
      <w:r>
        <w:rPr>
          <w:sz w:val="22"/>
          <w:szCs w:val="22"/>
        </w:rPr>
        <w:t xml:space="preserve">Στο τέλος κάθε χρήσης, το Διοικητικό Συμβούλιο (Δ.Σ.) κλείνει τους λογαριασμούς, κάνει απογραφή της περιουσίας, καταρτίζει τις ετήσιες χρηματοοικονομικές καταστάσεις, σύμφωνα με τα άρθρα 145 έως 157 του ν. 4548/2018 (Α’ 104), και συντάσσει ετήσια έκθεση πεπραγμένων που τις συνοδεύει.</w:t>
      </w:r>
    </w:p>
    <w:p>
      <w:pPr>
        <w:numPr>
          <w:ilvl w:val="0"/>
          <w:numId w:val="19"/>
        </w:numPr>
      </w:pPr>
      <w:r>
        <w:rPr>
          <w:sz w:val="22"/>
          <w:szCs w:val="22"/>
        </w:rPr>
        <w:t xml:space="preserve">Οι ετήσιες χρηματοοικονομικές καταστάσεις και η ετήσια έκθεση πεπραγμένων συντάσσονται από το Δ.Σ. της Εταιρείας, βάσει των ισχυόντων λογιστικών προτύπων, και υποβάλλονται προς έγκριση στη Γενική Συνέλευση, συνοδευόμενες από έκθεση του Δ.Σ. και από πιστοποιητικό ορκωτών λογιστών, σύμφωνα με το άρθρο 119 του ν. 4548/2018, περί ειδών γενικών συνελεύσεων, έως τη 10η Σεπτεμβρίου του επόμενου έτους. Μετά την έγκριση των ετήσιων χρηματοοικονομικών καταστάσεων, αυτές, μαζί με το πιστοποιητικό ορκωτών λογιστών, αναρτώνται στην ιστοσελίδα της Εταιρείας, όπου και παραμένουν για πέντε (5) τουλάχιστον έτη.</w:t>
      </w:r>
    </w:p>
    <w:p>
      <w:pPr>
        <w:numPr>
          <w:ilvl w:val="0"/>
          <w:numId w:val="19"/>
        </w:numPr>
      </w:pPr>
      <w:r>
        <w:rPr>
          <w:sz w:val="22"/>
          <w:szCs w:val="22"/>
        </w:rPr>
        <w:t xml:space="preserve">Οι χρηματοοικονομικές καταστάσεις της Εταιρείας υπόκεινται σε υποχρεωτικό έλεγχο από ορκωτούς ελεγκτές, σύμφωνα με το άρθρο 31 του ν. 4449/2017 (Α’ 7), οι οποίοι ορίζονται με απόφαση της Γ.Σ.</w:t>
      </w:r>
    </w:p>
    <w:p>
      <w:pPr>
        <w:numPr>
          <w:ilvl w:val="0"/>
          <w:numId w:val="19"/>
        </w:numPr>
      </w:pPr>
      <w:r>
        <w:rPr>
          <w:sz w:val="22"/>
          <w:szCs w:val="22"/>
        </w:rPr>
        <w:t xml:space="preserve">Στην Εταιρεία συστήνεται επιτροπή ελέγχου, η οποία αποτελείται από τρία (3) τουλάχιστον μη εκτελεστικά μέλη του Δ.Σ. Στην επιτροπή συμμετέχει οπωσδήποτε το μέλος με την αποδεδειγμένα επαρκή γνώση στην ελεγκτική ή τη λογιστική ή σε άλλον τομέα των οικονομικών επιστημών, εφαρμοζομένου αναλόγως ως προς το μέλος αυτό του άρθρου 9 του ν. 4706/2020 (Α’ 136), περί ανεξάρτητων μη εκτελεστικών μελών του Δ.Σ. Τα μέλη της επιτροπής ελέγχου είναι στην πλειοψηφία τους ανεξάρτητα και ορίζονται και παύονται με απόφαση της Γ.Σ. των μετόχων της Εταιρείας. Πρόεδρος της επιτροπής ορίζεται ένα (1) από τα ανεξάρτητα μέλη. Η επιτροπή ελέγχου έχει, ιδίως, τις ακόλουθες αρμοδιότητες:</w:t>
      </w:r>
    </w:p>
    <w:p>
      <w:pPr>
        <w:jc w:val="both"/>
      </w:pPr>
      <w:r>
        <w:rPr>
          <w:sz w:val="22"/>
          <w:szCs w:val="22"/>
        </w:rPr>
        <w:t xml:space="preserve">α) παρακολουθεί τη διαδικασία της χρηματοοικονομικής πληροφόρησης και υποβάλλει συστάσεις ή προτάσεις για την εξασφάλιση της ακεραιότητάς της,</w:t>
      </w:r>
    </w:p>
    <w:p>
      <w:pPr>
        <w:jc w:val="both"/>
      </w:pPr>
      <w:r>
        <w:rPr>
          <w:sz w:val="22"/>
          <w:szCs w:val="22"/>
        </w:rPr>
        <w:t xml:space="preserve">β) παρακολουθεί την αποτελεσματική λειτουργία του συστήματος εσωτερικού ελέγχου και του συστήματος διαχείρισης κινδύνων, καθώς και την ορθή λειτουργία της Μονάδας Εσωτερικού Ελέγχου όσον αφορά στη χρηματοοικονομική πληροφόρηση, χωρίς να παραβιάζει την ανεξαρτησία αυτής,</w:t>
      </w:r>
    </w:p>
    <w:p>
      <w:pPr>
        <w:jc w:val="both"/>
      </w:pPr>
      <w:r>
        <w:rPr>
          <w:sz w:val="22"/>
          <w:szCs w:val="22"/>
        </w:rPr>
        <w:t xml:space="preserve">γ) παρακολουθεί την πορεία του υποχρεωτικού ελέγχου των εταιρικών και ενοποιημένων οικονομικών καταστάσεων.</w:t>
      </w:r>
    </w:p>
    <w:p>
      <w:pPr>
        <w:jc w:val="both"/>
      </w:pPr>
      <w:r>
        <w:rPr>
          <w:sz w:val="22"/>
          <w:szCs w:val="22"/>
        </w:rPr>
        <w:t xml:space="preserve">Η επιτροπή ελέγχου συνεδριάζει σε τακτά χρονικά διαστήματα, τέσσερις (4) τουλάχιστον φορές ετησίως, και εκτάκτως όταν απαιτείται. Σε κάθε συνεδρίαση τηρούνται πρακτικά.</w:t>
      </w:r>
    </w:p>
    <w:p>
      <w:pPr>
        <w:jc w:val="both"/>
      </w:pPr>
      <w:r>
        <w:rPr>
          <w:sz w:val="22"/>
          <w:szCs w:val="22"/>
        </w:rPr>
        <w:t xml:space="preserve"> </w:t>
      </w:r>
    </w:p>
    <w:p>
      <w:pPr>
        <w:jc w:val="both"/>
      </w:pPr>
      <w:r>
        <w:rPr>
          <w:sz w:val="22"/>
          <w:szCs w:val="22"/>
          <w:b w:val="1"/>
          <w:bCs w:val="1"/>
        </w:rPr>
        <w:t xml:space="preserve">ΚΕΦΑΛΑΙΟ Ε’</w:t>
      </w:r>
    </w:p>
    <w:p>
      <w:pPr>
        <w:jc w:val="both"/>
      </w:pPr>
      <w:r>
        <w:rPr>
          <w:sz w:val="22"/>
          <w:szCs w:val="22"/>
          <w:b w:val="1"/>
          <w:bCs w:val="1"/>
        </w:rPr>
        <w:t xml:space="preserve">ΟΡΓΑΝΩΣΗ</w:t>
      </w:r>
    </w:p>
    <w:p>
      <w:pPr>
        <w:jc w:val="both"/>
      </w:pPr>
      <w:r>
        <w:rPr>
          <w:sz w:val="22"/>
          <w:szCs w:val="22"/>
          <w:b w:val="1"/>
          <w:bCs w:val="1"/>
        </w:rPr>
        <w:t xml:space="preserve"> </w:t>
      </w:r>
    </w:p>
    <w:p>
      <w:pPr>
        <w:jc w:val="both"/>
      </w:pPr>
      <w:r>
        <w:rPr>
          <w:sz w:val="22"/>
          <w:szCs w:val="22"/>
          <w:b w:val="1"/>
          <w:bCs w:val="1"/>
        </w:rPr>
        <w:t xml:space="preserve">Άρθρο 19</w:t>
      </w:r>
    </w:p>
    <w:p>
      <w:pPr>
        <w:jc w:val="both"/>
      </w:pPr>
      <w:r>
        <w:rPr>
          <w:sz w:val="22"/>
          <w:szCs w:val="22"/>
          <w:b w:val="1"/>
          <w:bCs w:val="1"/>
        </w:rPr>
        <w:t xml:space="preserve">Διοικητική διάρθρωση</w:t>
      </w:r>
    </w:p>
    <w:p>
      <w:pPr>
        <w:numPr>
          <w:ilvl w:val="0"/>
          <w:numId w:val="20"/>
        </w:numPr>
      </w:pPr>
      <w:r>
        <w:rPr>
          <w:sz w:val="22"/>
          <w:szCs w:val="22"/>
        </w:rPr>
        <w:t xml:space="preserve">Η Εταιρεία διαρθρώνεται σε:</w:t>
      </w:r>
    </w:p>
    <w:p>
      <w:pPr>
        <w:jc w:val="both"/>
      </w:pPr>
      <w:r>
        <w:rPr>
          <w:sz w:val="22"/>
          <w:szCs w:val="22"/>
        </w:rPr>
        <w:t xml:space="preserve">α) Γενικές Διευθύνσεις και</w:t>
      </w:r>
    </w:p>
    <w:p>
      <w:pPr>
        <w:jc w:val="both"/>
      </w:pPr>
      <w:r>
        <w:rPr>
          <w:sz w:val="22"/>
          <w:szCs w:val="22"/>
        </w:rPr>
        <w:t xml:space="preserve">β) αυτοτελείς υπηρεσίες που υπάγονται απευθείας στον Διευθύνοντα Σύμβουλο της Εταιρείας.</w:t>
      </w:r>
    </w:p>
    <w:p>
      <w:pPr>
        <w:numPr>
          <w:ilvl w:val="0"/>
          <w:numId w:val="21"/>
        </w:numPr>
      </w:pPr>
      <w:r>
        <w:rPr>
          <w:sz w:val="22"/>
          <w:szCs w:val="22"/>
        </w:rPr>
        <w:t xml:space="preserve">Οι Γενικές Διευθύνσεις της Εταιρείας είναι οι εξής:</w:t>
      </w:r>
    </w:p>
    <w:p>
      <w:pPr>
        <w:jc w:val="both"/>
      </w:pPr>
      <w:r>
        <w:rPr>
          <w:sz w:val="22"/>
          <w:szCs w:val="22"/>
        </w:rPr>
        <w:t xml:space="preserve">α) Γενική Διεύθυνση Hellenic Heritage, με στρατηγικό στόχο την ψηφιακή ανάδειξη του συνόλου των πολιτιστικών πόρων με την αξιοποίηση των σύγχρονων τεχνολογιών, της τεχνητής νοημοσύνης και των καινοτόμων ψηφιακών μέσων, τη βέλτιστη αξιοποίηση της ακίνητης και κινητής περιουσίας της Εταιρείας, την ενίσχυση και διάχυση της ταυτότητας του ελληνικού πολιτισμού ως ανταγωνιστικού μεγέθους και συγκριτικού πλεονεκτήματος της χώρας διεθνώς, καθώς και την ανάδειξη του πολιτισμού ως στρατηγικού αναπτυξιακού πόρου της κοινωνικής και οικονομικής ζωής της χώρας,</w:t>
      </w:r>
    </w:p>
    <w:p>
      <w:pPr>
        <w:jc w:val="both"/>
      </w:pPr>
      <w:r>
        <w:rPr>
          <w:sz w:val="22"/>
          <w:szCs w:val="22"/>
        </w:rPr>
        <w:t xml:space="preserve">β) Γενική Διεύθυνση Διοικητικής, Οικονομικής Υποστήριξης και Ψηφιακής Διακυβέρνησης, με στρατηγικό στόχο την εύρυθμη λειτουργία της Εταιρείας ως προς τις οριζόντιες υποστηρικτικές λειτουργίες της.</w:t>
      </w:r>
    </w:p>
    <w:p>
      <w:pPr>
        <w:numPr>
          <w:ilvl w:val="0"/>
          <w:numId w:val="22"/>
        </w:numPr>
      </w:pPr>
      <w:r>
        <w:rPr>
          <w:sz w:val="22"/>
          <w:szCs w:val="22"/>
        </w:rPr>
        <w:t xml:space="preserve">Οι υπηρεσίες που υπάγονται απευθείας στον Διευθύνοντα Σύμβουλο της Εταιρείας είναι οι εξής:</w:t>
      </w:r>
    </w:p>
    <w:p>
      <w:pPr>
        <w:jc w:val="both"/>
      </w:pPr>
      <w:r>
        <w:rPr>
          <w:sz w:val="22"/>
          <w:szCs w:val="22"/>
        </w:rPr>
        <w:t xml:space="preserve">α) Γραφείο Διοίκησης, το οποίο είναι αρμόδιο για την υποβοήθηση των μελών του Διοικητικού Συμβουλίου (Δ.Σ.) και του Διευθύνοντος Συμβούλου, την υποστήριξη της οργάνωσης και λειτουργίας του Δ.Σ., τη μελέτη θεμάτων και τη συγκέντρωση στοιχείων για την παροχή κατάλληλης ενημέρωσης στα όργανα διοίκησης, την επιμέλεια της αλληλογραφίας, την τήρηση των πρωτοκόλλων, καθώς και τη μέριμνα για την εκπλήρωση των υποχρεώσεων του Δ.Σ.,</w:t>
      </w:r>
    </w:p>
    <w:p>
      <w:pPr>
        <w:jc w:val="both"/>
      </w:pPr>
      <w:r>
        <w:rPr>
          <w:sz w:val="22"/>
          <w:szCs w:val="22"/>
        </w:rPr>
        <w:t xml:space="preserve">β) Γραφείο Επικοινωνίας, Δημοσίων Σχέσεων και Εθιμοτυπίας, το οποίο είναι αρμόδιο για την πληροφόρηση των μέσων ενημέρωσης σχετικά με τις δραστηριότητες της Εταιρείας και την προβολή του έργου της, καθώς και για την οργάνωση των δημοσίων σχέσεών της στο εσωτερικό και στο εξωτερικό,</w:t>
      </w:r>
    </w:p>
    <w:p>
      <w:pPr>
        <w:jc w:val="both"/>
      </w:pPr>
      <w:r>
        <w:rPr>
          <w:sz w:val="22"/>
          <w:szCs w:val="22"/>
        </w:rPr>
        <w:t xml:space="preserve">γ) Διεύθυνση Νομικής Υποστήριξης, η οποία είναι αρμόδια για τη νομική υποστήριξη των αναγκών των οργανικών μονάδων της Εταιρείας και του Δ.Σ. και για τον συντονισμό των υπηρεσιών της Εταιρείας σχετικά με:</w:t>
      </w:r>
    </w:p>
    <w:p>
      <w:pPr>
        <w:jc w:val="both"/>
      </w:pPr>
      <w:r>
        <w:rPr>
          <w:sz w:val="22"/>
          <w:szCs w:val="22"/>
        </w:rPr>
        <w:t xml:space="preserve">γα) τη σύνταξη σχεδίων νομοθετικών ρυθμίσεων και κανονιστικών πράξεων και την υποβολή τους προς το Υπουργείο Πολιτισμού, μετά από έγκριση του Δ.Σ. της Εταιρείας,</w:t>
      </w:r>
    </w:p>
    <w:p>
      <w:pPr>
        <w:jc w:val="both"/>
      </w:pPr>
      <w:r>
        <w:rPr>
          <w:sz w:val="22"/>
          <w:szCs w:val="22"/>
        </w:rPr>
        <w:t xml:space="preserve">γβ) την έγκαιρη και ουσιαστική ανταπόκριση της Εταιρείας σε θέματα κοινοβουλευτικού ελέγχου και</w:t>
      </w:r>
    </w:p>
    <w:p>
      <w:pPr>
        <w:jc w:val="both"/>
      </w:pPr>
      <w:r>
        <w:rPr>
          <w:sz w:val="22"/>
          <w:szCs w:val="22"/>
        </w:rPr>
        <w:t xml:space="preserve">γγ) τον χειρισμό δικαστικών υποθέσεων και την παροχή νομικών συμβουλών και γνωμοδοτήσεων,</w:t>
      </w:r>
    </w:p>
    <w:p>
      <w:pPr>
        <w:jc w:val="both"/>
      </w:pPr>
      <w:r>
        <w:rPr>
          <w:sz w:val="22"/>
          <w:szCs w:val="22"/>
        </w:rPr>
        <w:t xml:space="preserve">δ) Μονάδα Εσωτερικού Ελέγχου, επιπέδου Τμήματος, που οργανώνεται και λειτουργεί σύμφωνα με τον ν. 4972/2022 (Α’ 181) και ειδικότερα με τα άρθρα 16, περί συστήματος εσωτερικού ελέγχου και οργάνωσης και λειτουργίας της Μονάδας Εσωτερικού Ελέγχου, και 17, περί αρμοδιοτήτων του εσωτερικού ελεγκτή και της Μονάδας Εσωτερικού Ελέγχου.</w:t>
      </w:r>
    </w:p>
    <w:p>
      <w:pPr>
        <w:jc w:val="both"/>
      </w:pPr>
      <w:r>
        <w:rPr>
          <w:sz w:val="22"/>
          <w:szCs w:val="22"/>
        </w:rPr>
        <w:t xml:space="preserve"> </w:t>
      </w:r>
    </w:p>
    <w:p>
      <w:pPr>
        <w:jc w:val="both"/>
      </w:pPr>
      <w:r>
        <w:rPr>
          <w:sz w:val="22"/>
          <w:szCs w:val="22"/>
          <w:b w:val="1"/>
          <w:bCs w:val="1"/>
        </w:rPr>
        <w:t xml:space="preserve">Άρθρο 20</w:t>
      </w:r>
    </w:p>
    <w:p>
      <w:pPr>
        <w:jc w:val="both"/>
      </w:pPr>
      <w:r>
        <w:rPr>
          <w:sz w:val="22"/>
          <w:szCs w:val="22"/>
          <w:b w:val="1"/>
          <w:bCs w:val="1"/>
        </w:rPr>
        <w:t xml:space="preserve">Σύσταση θέσεων</w:t>
      </w:r>
    </w:p>
    <w:p>
      <w:pPr>
        <w:numPr>
          <w:ilvl w:val="0"/>
          <w:numId w:val="23"/>
        </w:numPr>
      </w:pPr>
      <w:r>
        <w:rPr>
          <w:sz w:val="22"/>
          <w:szCs w:val="22"/>
        </w:rPr>
        <w:t xml:space="preserve">Στην Εταιρεία συστήνονται ενενήντα (90) θέσεις προσωπικού με σχέση εργασίας ιδιωτικού δικαίου αορίστου χρόνου, οι οποίες κατανέμονται κατά εκπαιδευτική κατηγορία, κλάδο και ειδικότητα με τον Εσωτερικό Κανονισμό Οργάνωσης και Λειτουργίας της Εταιρείας, σύμφωνα με το π.δ. 85/2022 (Α’ 232), περί καθορισμού προσόντων διορισμού σε φορείς του Δημοσίου.</w:t>
      </w:r>
    </w:p>
    <w:p>
      <w:pPr>
        <w:numPr>
          <w:ilvl w:val="0"/>
          <w:numId w:val="23"/>
        </w:numPr>
      </w:pPr>
      <w:r>
        <w:rPr>
          <w:sz w:val="22"/>
          <w:szCs w:val="22"/>
        </w:rPr>
        <w:t xml:space="preserve">Επιπλέον των θέσεων της παρ. 1, στην Εταιρεία συστήνονται οι ακόλουθες θέσεις:</w:t>
      </w:r>
    </w:p>
    <w:p>
      <w:pPr>
        <w:jc w:val="both"/>
      </w:pPr>
      <w:r>
        <w:rPr>
          <w:sz w:val="22"/>
          <w:szCs w:val="22"/>
        </w:rPr>
        <w:t xml:space="preserve">α) για τη στελέχωση του Γραφείου Διοίκησης, του Γραφείου Επικοινωνίας, Δημοσίων Σχέσεων και Εθιμοτυπίας και της Διεύθυνσης Νομικής Υποστήριξης των περ. α) έως γ) της παρ. 3 του άρθρου 19, συστήνονται:</w:t>
      </w:r>
    </w:p>
    <w:p>
      <w:pPr>
        <w:jc w:val="both"/>
      </w:pPr>
      <w:r>
        <w:rPr>
          <w:sz w:val="22"/>
          <w:szCs w:val="22"/>
        </w:rPr>
        <w:t xml:space="preserve">αα) μία (1) θέση συνεργάτη με σχέση εργασίας ιδιωτικού δικαίου ορισμένου χρόνου, ο οποίος προσλαμβάνεται από το Διοικητικό Συμβούλιο (Δ.Σ.) και η υπηρεσία του λήγει αυτοδικαίως με την κατά οποιονδήποτε τρόπο λήξη της θητείας του Προέδρου,</w:t>
      </w:r>
    </w:p>
    <w:p>
      <w:pPr>
        <w:jc w:val="both"/>
      </w:pPr>
      <w:r>
        <w:rPr>
          <w:sz w:val="22"/>
          <w:szCs w:val="22"/>
        </w:rPr>
        <w:t xml:space="preserve">αβ) τέσσερις (4) θέσεις συνεργατών με σχέση εργασίας ιδιωτικού δικαίου ορισμένου χρόνου, οι οποίοι προσλαμβάνονται από τον Διευθύνοντα Σύμβουλο και η υπηρεσία των οποίων λήγει αυτοδικαίως με την κατά οποιονδήποτε τρόπο λήξη της θητείας του Διευθύνοντος Συμβούλου,</w:t>
      </w:r>
    </w:p>
    <w:p>
      <w:pPr>
        <w:jc w:val="both"/>
      </w:pPr>
      <w:r>
        <w:rPr>
          <w:sz w:val="22"/>
          <w:szCs w:val="22"/>
        </w:rPr>
        <w:t xml:space="preserve">αγ) δύο (2) θέσεις δημοσιογράφων με σχέση εργασίας ιδιωτικού δικαίου ορισμένου χρόνου, οι οποίες καλύπτονται με απόφαση του Διευθύνοντος Συμβούλου. Οι δημοσιογράφοι πρέπει να είναι είτε μέλη αναγνωρισμένης στην Ελλάδα επαγγελματικής δημοσιογραφικής οργάνωσης είτε να έχουν προϋπηρεσία δύο (2) τουλάχιστον ετών σε ημερήσια πολιτική ή οικονομική εφημερίδα, σε περιοδικό ευρείας κυκλοφορίας, στη ραδιοφωνία, στην τηλεόραση ή στο διαδίκτυο, η οποία αποδεικνύεται από την ασφάλιση στον οικείο ασφαλιστικό φορέα με την ιδιότητα του δημοσιογράφου, ή σε ιδιαίτερο γραφείο των άρθρων 45, περί οργάνωσης και λειτουργίας ιδιαίτερων γραφείων, 46, περί στελέχωσης ιδιαίτερων γραφείων, και 47, περί διαδικασίας στελέχωσης ιδιαίτερων γραφείων, του ν. 4622/2019 (Α’ 133). Η υπηρεσία τους λήγει αυτοδικαίως με την κατά οποιονδήποτε τρόπο λήξη της θητείας του Διευθύνοντος Συμβούλου,</w:t>
      </w:r>
    </w:p>
    <w:p>
      <w:pPr>
        <w:jc w:val="both"/>
      </w:pPr>
      <w:r>
        <w:rPr>
          <w:sz w:val="22"/>
          <w:szCs w:val="22"/>
        </w:rPr>
        <w:t xml:space="preserve">β) για τις ανάγκες της Εταιρείας και της Διεύθυνσης Νομικής Υποστήριξης συστήνονται συνολικά δύο (2) θέσεις νομικών συμβούλων και έξι (6) θέσεις δικηγόρων με έμμισθη εντολή, οι οποίες καλύπτονται σύμφωνα με την παρ. 2 του άρθρου 43 του Κώδικα Δικηγόρων (ν. 4194/2013, Α’ 208), περί διαδικασίας πρόσληψης έμμισθων δικηγόρων στους φορείς του δημόσιου τομέα.</w:t>
      </w:r>
    </w:p>
    <w:p>
      <w:pPr>
        <w:numPr>
          <w:ilvl w:val="0"/>
          <w:numId w:val="24"/>
        </w:numPr>
      </w:pPr>
      <w:r>
        <w:rPr>
          <w:sz w:val="22"/>
          <w:szCs w:val="22"/>
        </w:rPr>
        <w:t xml:space="preserve">Για το προσωπικό των παρ. 1 και 2 εφαρμόζεται το άρθρο 51 του ν. 4622/2019, περί ετήσιου προγραμματισμού ανθρώπινου δυναμικού του δημόσιου τομέα.</w:t>
      </w:r>
    </w:p>
    <w:p>
      <w:pPr>
        <w:jc w:val="both"/>
      </w:pPr>
      <w:r>
        <w:rPr>
          <w:sz w:val="22"/>
          <w:szCs w:val="22"/>
          <w:b w:val="1"/>
          <w:bCs w:val="1"/>
        </w:rPr>
        <w:t xml:space="preserve"> </w:t>
      </w:r>
    </w:p>
    <w:p>
      <w:pPr>
        <w:jc w:val="both"/>
      </w:pPr>
      <w:r>
        <w:rPr>
          <w:sz w:val="22"/>
          <w:szCs w:val="22"/>
          <w:b w:val="1"/>
          <w:bCs w:val="1"/>
        </w:rPr>
        <w:t xml:space="preserve">Άρθρο 21</w:t>
      </w:r>
    </w:p>
    <w:p>
      <w:pPr>
        <w:jc w:val="both"/>
      </w:pPr>
      <w:r>
        <w:rPr>
          <w:sz w:val="22"/>
          <w:szCs w:val="22"/>
          <w:b w:val="1"/>
          <w:bCs w:val="1"/>
        </w:rPr>
        <w:t xml:space="preserve">Στελέχωση</w:t>
      </w:r>
    </w:p>
    <w:p>
      <w:pPr>
        <w:numPr>
          <w:ilvl w:val="0"/>
          <w:numId w:val="25"/>
        </w:numPr>
      </w:pPr>
      <w:r>
        <w:rPr>
          <w:sz w:val="22"/>
          <w:szCs w:val="22"/>
        </w:rPr>
        <w:t xml:space="preserve">Οι θέσεις της παρ. 1 του άρθρου 20 καλύπτονται με προσλήψεις προσωπικού με σχέση εργασίας ιδιωτικού δικαίου αορίστου χρόνου ή με μετατάξεις προσωπικού με σχέση εργασίας ιδιωτικού δικαίου αορίστου χρόνου ή με αποσπάσεις προσωπικού με σχέση εργασίας δημοσίου δικαίου ή ιδιωτικού δικαίου αορίστου χρόνου που υπηρετεί στους φορείς της Γενικής Κυβέρνησης, όπως αυτή ορίζεται στην περ. β’ της παρ. 1 του άρθρου 14 του ν. 4270/2014 (Α’ 143), σύμφωνα με τον ν. 4440/2016 (Α’ 224) περί Ενιαίου Συστήματος Κινητικότητας στη Δημόσια Διοίκηση και την Τοπική Αυτοδιοίκηση.</w:t>
      </w:r>
    </w:p>
    <w:p>
      <w:pPr>
        <w:numPr>
          <w:ilvl w:val="0"/>
          <w:numId w:val="25"/>
        </w:numPr>
      </w:pPr>
      <w:r>
        <w:rPr>
          <w:sz w:val="22"/>
          <w:szCs w:val="22"/>
        </w:rPr>
        <w:t xml:space="preserve">Για την υλοποίηση προγραμμάτων που χρηματοδοτούνται ή συγχρηματοδοτούνται από ενωσιακούς πόρους, η Εταιρεία δύναται να απασχολεί προσωπικό με σύμβαση μίσθωσης έργου, σύμφωνα με το άρθρο 6 του ν. 2527/1997 (Α’ 206), περί συμβάσεων μίσθωσης έργου, το άρθρο 15, περί δαπανών για αμοιβές προσωπικού, της υπ’ αρ. 114947/2022 απόφασης του Υφυπουργού Ανάπτυξης και Επενδύσεων «Εθνικοί κανόνες επιλεξιμότητας δαπανών για τα προγράμματα του ΕΣΠΑ 2021-2027» (Β’ 6132), την περ. ιζ) του άρθρου 1 της υπό στοιχεία ΔΙΠΑΑΔ/Φ.ΕΠ.1/934/6966/21.4.2023 κοινής απόφασης των Υπουργών Οικονομικών και Εσωτερικών «Εξαιρέσεις από τον ετήσιο προγραμματισμό ανθρώπινου δυναμικού του δημόσιου τομέα του άρθρου 51 του ν. 4622/2019» (Β’ 2614) και την παρ. 3 του άρθρου 8 του ν. 4325/2015 (Α’ 47), περί απλούστευσης και επιτάχυνσης διαδικασιών προσλήψεων εποχικού προσωπικού και συμβάσεων μίσθωσης έργου. Για την κάλυψη αναγκών εξειδικευμένου τεχνικού χαρακτήρα, το σχετικό έργο ή υπηρεσία μπορεί, με απόφαση του Διοικητικού Συμβουλίου, να ανατίθεται σε ανάδοχο ή πάροχο υπηρεσιών, σύμφωνα με τον ν. 4412/2016 (Α’ 147).</w:t>
      </w:r>
    </w:p>
    <w:p>
      <w:pPr>
        <w:numPr>
          <w:ilvl w:val="0"/>
          <w:numId w:val="25"/>
        </w:numPr>
      </w:pPr>
      <w:r>
        <w:rPr>
          <w:sz w:val="22"/>
          <w:szCs w:val="22"/>
        </w:rPr>
        <w:t xml:space="preserve">Η πρόσληψη για την πλήρωση των θέσεων προσωπικού με σύμβαση εργασίας ιδιωτικού δικαίου αορίστου χρόνου και προσωπικού με σύμβαση εργασίας ιδιωτικού δικαίου ορισμένου χρόνου ή μίσθωσης έργου για την κάλυψη εποχικών και περιοδικών ή άλλων πρόσκαιρων ή παροδικών αναγκών, υπάγεται στην αρμοδιότητα του Ανώτατου Συμβουλίου Επιλογής Προσωπικού και πραγματοποιείται σύμφωνα με τον ν. 4765/2021 (Α’ 6).</w:t>
      </w:r>
    </w:p>
    <w:p>
      <w:pPr>
        <w:numPr>
          <w:ilvl w:val="0"/>
          <w:numId w:val="25"/>
        </w:numPr>
      </w:pPr>
      <w:r>
        <w:rPr>
          <w:sz w:val="22"/>
          <w:szCs w:val="22"/>
        </w:rPr>
        <w:t xml:space="preserve">Η Εταιρεία δύναται να συνάπτει συμβάσεις μίσθωσης έργου με φυσικά πρόσωπα, σύμφωνα με το άρθρο 6 του ν. 2527/1997, τα οποία πρόκειται να απασχολούνται στην υποστήριξη της διαχείρισης, παρακολούθησης και εκτέλεσης ψηφιακών έργων και νέων τεχνολογιών, της επικοινωνίας, του σχεδιασμού και της εφαρμογής της εμπορικής πολιτικής και της αξιοποίησης της ακίνητης και της κινητής περιουσίας που διαχειρίζεται η Εταιρεία στο όνομα και για λογαριασμό του Ο.Δ.Α.Π. Τα έργα αυτά χρηματοδοτούνται είτε από το εθνικό ή το συγχρηματοδοτούμενο σκέλος του Προγράμματος Δημοσίων Επενδύσεων είτε από άλλη πηγή. Οι ανωτέρω συμβάσεις μίσθωσης έργου δεν καλύπτουν πάγιες και διαρκείς ανάγκες της Εταιρείας και σε καμία περίπτωση δεν υποκρύπτουν σύμβαση εξαρτημένης εργασίας. Η επιλογή των προσώπων που πρόκειται να εκτελέσουν το έργο με αντίστοιχη σύμβαση γίνεται από την Εταιρεία μετά από δημοσίευση σχετικής πρόσκλησης εκδήλωσης ενδιαφέροντος. Με απόφαση του Διοικητικού Συμβουλίου της Εταιρείας, για τη σύναψη των συμβάσεων μίσθωσης έργου της παρούσας, καθορίζονται ο αριθμός των προσώπων που πρόκειται να απασχοληθούν σε κάθε έργο που υλοποιεί η Εταιρεία, τα κριτήρια επιλογής ανάλογα με τις προκύπτουσες ανάγκες υποστήριξης των έργων που υλοποιεί, η διάρκεια της σύμβασης, η οποία δεν μπορεί να υπερβαίνει τη χρονική διάρκεια του έργου στο οποίο απασχολούνται, η αμοιβή τους και κάθε αναγκαία λεπτομέρεια για την εφαρμογή της σύμβασής τους, με μνεία στη σύμβαση ότι το αντικείμενό της ανάγεται σε εξειδικευμένη υποστήριξη των έργων που υλοποιεί η Εταιρεία για την εκπλήρωση της αποστολής της. Η παρούσα δεν εφαρμόζεται σε έργα που εκτελούνται με χρηματοδότηση του ν. 5140/2024 (Α΄ 154) περί νέου αναπτυξιακού προγράμματος δημοσίων επενδύσεων.</w:t>
      </w:r>
    </w:p>
    <w:p>
      <w:pPr>
        <w:numPr>
          <w:ilvl w:val="0"/>
          <w:numId w:val="25"/>
        </w:numPr>
      </w:pPr>
      <w:r>
        <w:rPr>
          <w:sz w:val="22"/>
          <w:szCs w:val="22"/>
        </w:rPr>
        <w:t xml:space="preserve">Οι συμβάσεις των παρ. 1, 3 και 4 εντάσσονται στον ετήσιο προγραμματισμό ανθρώπινου δυναμικού του δημόσιου τομέα του άρθρου 51 του ν. 4622/2019 (Α΄ 133).</w:t>
      </w:r>
    </w:p>
    <w:p>
      <w:pPr>
        <w:jc w:val="both"/>
      </w:pPr>
      <w:r>
        <w:rPr>
          <w:sz w:val="22"/>
          <w:szCs w:val="22"/>
        </w:rPr>
        <w:t xml:space="preserve"> </w:t>
      </w:r>
    </w:p>
    <w:p>
      <w:pPr>
        <w:jc w:val="both"/>
      </w:pPr>
      <w:r>
        <w:rPr>
          <w:sz w:val="22"/>
          <w:szCs w:val="22"/>
          <w:b w:val="1"/>
          <w:bCs w:val="1"/>
        </w:rPr>
        <w:t xml:space="preserve">Άρθρο 22</w:t>
      </w:r>
    </w:p>
    <w:p>
      <w:pPr>
        <w:jc w:val="both"/>
      </w:pPr>
      <w:r>
        <w:rPr>
          <w:sz w:val="22"/>
          <w:szCs w:val="22"/>
          <w:b w:val="1"/>
          <w:bCs w:val="1"/>
        </w:rPr>
        <w:t xml:space="preserve">Πλήρωση θέσεων των προϊσταμένων Γενικών Διευθύνσεων, των Διευθύνσεων και των Τμημάτων των οργανικών μονάδων που υπάγονται στον Διευθύνοντα Σύμβουλο της Εταιρείας και του Προϊσταμένου της Διεύθυνσης Νομικής Υποστήριξης</w:t>
      </w:r>
    </w:p>
    <w:p>
      <w:pPr>
        <w:jc w:val="both"/>
      </w:pPr>
      <w:r>
        <w:rPr>
          <w:sz w:val="22"/>
          <w:szCs w:val="22"/>
        </w:rPr>
        <w:t xml:space="preserve">Η πλήρωση των θέσεων των προϊσταμένων των Γενικών Διευθύνσεων των περ. α) και β) της παρ. 2 του άρθρου 19 γίνεται με απόφαση του Διευθύνοντος Συμβούλου, σύμφωνα με τη διαδικασία των παρ. 1 έως 5 του άρθρου 23 του ν. 4972/2022 (Α’ 181), περί πλήρωσης θέσεων γενικών διευθυντών και αποδοχών. Με όμοια απόφαση γίνεται η πλήρωση των θέσεων των προϊσταμένων των Διευθύνσεων και των Τμημάτων που υπάγονται στις Γενικές Διευθύνσεις του πρώτου εδαφίου, καθώς και του προϊσταμένου της Μονάδας Εσωτερικού Ελέγχου της περ. δ) της παρ. 3 του άρθρου 19, από προσωπικό της Εταιρείας με σχέση εργασίας ιδιωτικού δικαίου αορίστου χρόνου ή από υπαλλήλους δημοσίου ή ιδιωτικού δικαίου αορίστου χρόνου φορέων της Γενικής Κυβέρνησης, όπως αυτή ορίζεται στην περ. β) της παρ. 1 του άρθρου 14 του ν. 4270/2014 (Α’ 143), που αποσπώνται σε αυτή, ή από εξειδικευμένα στελέχη του ιδιωτικού τομέα που συνάπτουν σύμβαση εργασίας ιδιωτικού δικαίου ορισμένου χρόνου διάρκειας έως τριών (3) ετών. Η πρόσληψη στις θέσεις της παρούσας παραγράφου εντάσσεται στον ετήσιο προγραμματισμό προσλήψεων, σύμφωνα με το άρθρο 51 του ν. 4622/2019 (Α’ 133), εφόσον οι θέσεις καλύπτονται από ιδιώτες.</w:t>
      </w:r>
    </w:p>
    <w:p>
      <w:pPr>
        <w:numPr>
          <w:ilvl w:val="0"/>
          <w:numId w:val="26"/>
        </w:numPr>
      </w:pPr>
      <w:r>
        <w:rPr>
          <w:sz w:val="22"/>
          <w:szCs w:val="22"/>
        </w:rPr>
        <w:t xml:space="preserve">Αν ως προϊστάμενος οργανικής μονάδας κάθε επιπέδου επιλεγεί υπάλληλος δημοσίου ή ιδιωτικού δικαίου αορίστου χρόνου φορέα της Γενικής Κυβέρνησης, η πλήρωση της θέσης γίνεται με απόσπαση, η οποία διενεργείται με κοινή απόφαση του αρμοδίου οργάνου του Υπουργείου Πολιτισμού και του καθ’ ύλην αρμόδιου Υπουργείου για όσο χρόνο διαρκεί η θητεία του ως προϊσταμένου. Αν ως προϊστάμενος οργανικής μονάδας κάθε επιπέδου επιλεγεί υπάλληλος που υπηρετεί στην Εταιρεία με απόσπαση, η διάρκεια της απόσπασής του παρατείνεται αυτοδίκαια έως τη λήξη της θητείας του ως προϊσταμένου.</w:t>
      </w:r>
    </w:p>
    <w:p>
      <w:pPr>
        <w:numPr>
          <w:ilvl w:val="0"/>
          <w:numId w:val="26"/>
        </w:numPr>
      </w:pPr>
      <w:r>
        <w:rPr>
          <w:sz w:val="22"/>
          <w:szCs w:val="22"/>
        </w:rPr>
        <w:t xml:space="preserve">Η θητεία των προϊσταμένων των οργανικών μονάδων κάθε επιπέδου είναι τριετής, με δυνατότητα άπαξ ισόχρονης ανανέωσης.</w:t>
      </w:r>
    </w:p>
    <w:p>
      <w:pPr>
        <w:numPr>
          <w:ilvl w:val="0"/>
          <w:numId w:val="26"/>
        </w:numPr>
      </w:pPr>
      <w:r>
        <w:rPr>
          <w:sz w:val="22"/>
          <w:szCs w:val="22"/>
        </w:rPr>
        <w:t xml:space="preserve">Η θέση του προϊσταμένου της Διεύθυνσης Νομικής Υποστήριξης καλύπτεται από νομικό σύμβουλο, σύμφωνα με την παρ. 2 του άρθρου 43 του Κώδικα Δικηγόρων (ν. 4194/2013, Α΄ 208), περί πρόσληψης έμμισθου δικηγόρου, και για τη θητεία του εφαρμόζεται η παρ. 2 του άρθρου 46 του ίδιου Κώδικα, περί διάρκειας και λήξης έμμισθης εντολής και αποζημίωσης.</w:t>
      </w:r>
    </w:p>
    <w:p>
      <w:pPr>
        <w:jc w:val="both"/>
      </w:pPr>
      <w:r>
        <w:rPr>
          <w:sz w:val="22"/>
          <w:szCs w:val="22"/>
        </w:rPr>
        <w:t xml:space="preserve"> </w:t>
      </w:r>
    </w:p>
    <w:p>
      <w:pPr>
        <w:jc w:val="both"/>
      </w:pPr>
      <w:r>
        <w:rPr>
          <w:sz w:val="22"/>
          <w:szCs w:val="22"/>
          <w:b w:val="1"/>
          <w:bCs w:val="1"/>
        </w:rPr>
        <w:t xml:space="preserve">Άρθρο 23</w:t>
      </w:r>
    </w:p>
    <w:p>
      <w:pPr>
        <w:jc w:val="both"/>
      </w:pPr>
      <w:r>
        <w:rPr>
          <w:sz w:val="22"/>
          <w:szCs w:val="22"/>
          <w:b w:val="1"/>
          <w:bCs w:val="1"/>
        </w:rPr>
        <w:t xml:space="preserve">Αποδοχές προσωπικού</w:t>
      </w:r>
    </w:p>
    <w:p>
      <w:pPr>
        <w:numPr>
          <w:ilvl w:val="0"/>
          <w:numId w:val="27"/>
        </w:numPr>
      </w:pPr>
      <w:r>
        <w:rPr>
          <w:sz w:val="22"/>
          <w:szCs w:val="22"/>
        </w:rPr>
        <w:t xml:space="preserve">Για το μισθολογικό καθεστώς του πάσης φύσεως προσωπικού εφαρμόζονται τα άρθρα 7 έως 35 του ν. 4354/2015 (Α’ 176). Οι μη μισθολογικές παροχές διέπονται από το άρθρο 43 του ν. 4484/2017 (Α’ 110) περί μη μισθολογικών παροχών.</w:t>
      </w:r>
    </w:p>
    <w:p>
      <w:pPr>
        <w:numPr>
          <w:ilvl w:val="0"/>
          <w:numId w:val="27"/>
        </w:numPr>
      </w:pPr>
      <w:r>
        <w:rPr>
          <w:sz w:val="22"/>
          <w:szCs w:val="22"/>
        </w:rPr>
        <w:t xml:space="preserve">Οι αποδοχές των Γενικών Διευθυντών καθορίζονται σύμφωνα με την παρ. 6 του άρθρου 23 του ν. 4972/2022 (Α’ 181) περί πλήρωσης θέσεων γενικών διευθυντών και αποδοχών.</w:t>
      </w:r>
    </w:p>
    <w:p>
      <w:pPr>
        <w:numPr>
          <w:ilvl w:val="0"/>
          <w:numId w:val="27"/>
        </w:numPr>
      </w:pPr>
      <w:r>
        <w:rPr>
          <w:sz w:val="22"/>
          <w:szCs w:val="22"/>
        </w:rPr>
        <w:t xml:space="preserve">Στους υπαλλήλους της Εταιρείας που ασκούν καθήκοντα διαχειριστή εσόδων στις κατηγορίες επισκεψιμότητας αρχαιολογικών χώρων, ιστορικών τόπων, μουσείων και μνημείων του άρθρου 3 καταβάλλεται μηνιαίο επίδομα, το οποίο καθορίζεται κλιμακωτά ανά κατηγορία χώρου ως εξής:</w:t>
      </w:r>
    </w:p>
    <w:p>
      <w:pPr>
        <w:jc w:val="both"/>
      </w:pPr>
      <w:r>
        <w:rPr>
          <w:sz w:val="22"/>
          <w:szCs w:val="22"/>
        </w:rPr>
        <w:t xml:space="preserve">α) εβδομήντα (70) ευρώ για την Κατηγορία Δ,</w:t>
      </w:r>
    </w:p>
    <w:p>
      <w:pPr>
        <w:jc w:val="both"/>
      </w:pPr>
      <w:r>
        <w:rPr>
          <w:sz w:val="22"/>
          <w:szCs w:val="22"/>
        </w:rPr>
        <w:t xml:space="preserve">β) εκατόν είκοσι (120) ευρώ για την Κατηγορία Γ,</w:t>
      </w:r>
    </w:p>
    <w:p>
      <w:pPr>
        <w:jc w:val="both"/>
      </w:pPr>
      <w:r>
        <w:rPr>
          <w:sz w:val="22"/>
          <w:szCs w:val="22"/>
        </w:rPr>
        <w:t xml:space="preserve">γ) εκατόν σαράντα (140) ευρώ για την Κατηγορία Β, και</w:t>
      </w:r>
    </w:p>
    <w:p>
      <w:pPr>
        <w:jc w:val="both"/>
      </w:pPr>
      <w:r>
        <w:rPr>
          <w:sz w:val="22"/>
          <w:szCs w:val="22"/>
        </w:rPr>
        <w:t xml:space="preserve">δ) εκατόν εβδομήντα (170) ευρώ. για την Κατηγορία Α.</w:t>
      </w:r>
    </w:p>
    <w:p>
      <w:pPr>
        <w:numPr>
          <w:ilvl w:val="0"/>
          <w:numId w:val="28"/>
        </w:numPr>
      </w:pPr>
      <w:r>
        <w:rPr>
          <w:sz w:val="22"/>
          <w:szCs w:val="22"/>
        </w:rPr>
        <w:t xml:space="preserve">Στους υπαλλήλους της Εταιρείας που ασκούν καθήκοντα ταμία στις κατηγορίες επισκεψιμότητας αρχαιολογικών χώρων, ιστορικών τόπων, μουσείων και μνημείων του άρθρου 3 καταβάλλεται μηνιαίο επίδομα, το οποίο καθορίζεται κλιμακωτά ανά κατηγορία χώρου, ως εξής:</w:t>
      </w:r>
    </w:p>
    <w:p>
      <w:pPr>
        <w:jc w:val="both"/>
      </w:pPr>
      <w:r>
        <w:rPr>
          <w:sz w:val="22"/>
          <w:szCs w:val="22"/>
        </w:rPr>
        <w:t xml:space="preserve">α) πενήντα (50) ευρώ για την Κατηγορία Δ,</w:t>
      </w:r>
    </w:p>
    <w:p>
      <w:pPr>
        <w:jc w:val="both"/>
      </w:pPr>
      <w:r>
        <w:rPr>
          <w:sz w:val="22"/>
          <w:szCs w:val="22"/>
        </w:rPr>
        <w:t xml:space="preserve">β) εβδομήντα (70) ευρώ για την Κατηγορία Γ,</w:t>
      </w:r>
    </w:p>
    <w:p>
      <w:pPr>
        <w:jc w:val="both"/>
      </w:pPr>
      <w:r>
        <w:rPr>
          <w:sz w:val="22"/>
          <w:szCs w:val="22"/>
        </w:rPr>
        <w:t xml:space="preserve">γ) εκατό (100) ευρώ για την Κατηγορία Β, και</w:t>
      </w:r>
    </w:p>
    <w:p>
      <w:pPr>
        <w:jc w:val="both"/>
      </w:pPr>
      <w:r>
        <w:rPr>
          <w:sz w:val="22"/>
          <w:szCs w:val="22"/>
        </w:rPr>
        <w:t xml:space="preserve">δ) εκατόν πενήντα (150) ευρώ για την Κατηγορία Α.</w:t>
      </w:r>
    </w:p>
    <w:p>
      <w:pPr>
        <w:numPr>
          <w:ilvl w:val="0"/>
          <w:numId w:val="29"/>
        </w:numPr>
      </w:pPr>
      <w:r>
        <w:rPr>
          <w:sz w:val="22"/>
          <w:szCs w:val="22"/>
        </w:rPr>
        <w:t xml:space="preserve">Αν ο ίδιος υπάλληλος της Εταιρείας ασκεί καθήκοντα και διαχειριστή εσόδων και ταμία, του καταβάλλεται αποκλειστικά το αντίστοιχο προβλεπόμενο μηνιαίο επίδομα διαχειριστή εσόδων της παρ. 3 του παρόντος ανάλογα με την κατηγορία επισκεψιμότητας χώρου στην οποία ασκεί τα καθήκοντά του.</w:t>
      </w:r>
    </w:p>
    <w:p>
      <w:pPr>
        <w:numPr>
          <w:ilvl w:val="0"/>
          <w:numId w:val="29"/>
        </w:numPr>
      </w:pPr>
      <w:r>
        <w:rPr>
          <w:sz w:val="22"/>
          <w:szCs w:val="22"/>
        </w:rPr>
        <w:t xml:space="preserve">Για την πέραν του πενθημέρου απασχόληση, την υπερωριακή απασχόληση καθ` υπέρβαση του υποχρεωτικού ωραρίου, την εργασία κατά τις νυχτερινές ώρες ή κατά τις Κυριακές και εξαιρέσιμες ημέρες των υπαλλήλων της Εταιρείας που απασχολούνται στη λειτουργία του συστήματος του ηλεκτρονικού εισιτηρίου εφαρμόζεται το άρθρο 20 του ν. 4354/2015 περί αποζημίωσης για εργασία καθ’ υπέρβαση του υποχρεωτικού ωραρίου και αποζημίωσης για εργασία προς συμπλήρωση του υποχρεωτικού ωραρίου.</w:t>
      </w:r>
    </w:p>
    <w:p>
      <w:pPr>
        <w:jc w:val="both"/>
      </w:pPr>
      <w:r>
        <w:rPr>
          <w:sz w:val="22"/>
          <w:szCs w:val="22"/>
          <w:b w:val="1"/>
          <w:bCs w:val="1"/>
        </w:rPr>
        <w:t xml:space="preserve"> </w:t>
      </w:r>
    </w:p>
    <w:p>
      <w:pPr>
        <w:jc w:val="both"/>
      </w:pPr>
      <w:r>
        <w:rPr>
          <w:sz w:val="22"/>
          <w:szCs w:val="22"/>
          <w:b w:val="1"/>
          <w:bCs w:val="1"/>
        </w:rPr>
        <w:t xml:space="preserve">Άρθρο 24</w:t>
      </w:r>
    </w:p>
    <w:p>
      <w:pPr>
        <w:jc w:val="both"/>
      </w:pPr>
      <w:r>
        <w:rPr>
          <w:sz w:val="22"/>
          <w:szCs w:val="22"/>
          <w:b w:val="1"/>
          <w:bCs w:val="1"/>
        </w:rPr>
        <w:t xml:space="preserve">Εσωτερικός Κανονισμός Οργάνωσης και Λειτουργίας της Εταιρείας</w:t>
      </w:r>
    </w:p>
    <w:p>
      <w:pPr>
        <w:numPr>
          <w:ilvl w:val="0"/>
          <w:numId w:val="30"/>
        </w:numPr>
      </w:pPr>
      <w:r>
        <w:rPr>
          <w:sz w:val="22"/>
          <w:szCs w:val="22"/>
        </w:rPr>
        <w:t xml:space="preserve">Με τον Εσωτερικό Κανονισμό Οργάνωσης και Λειτουργίας της Εταιρείας καθορίζονται η εσωτερική διάρθρωση, η κατανομή των θέσεων του προσωπικού κατά κατηγορία, κλάδο και ειδικότητα, η διαδικασία πρόσληψης και τα προσόντα κατά εργασιακή σχέση, εκπαιδευτική κατηγορία, κλάδο και ειδικότητα, τα κριτήρια επιλογής και τοποθέτησης προϊσταμένων, ο τρόπος οργάνωσης και λειτουργίας της Εταιρείας, η έδρα κάθε οργανικής μονάδας, η υπηρεσιακή κατάσταση του προσωπικού, τα πειθαρχικά όργανα και οι σχετικές εξουσίες, τα πειθαρχικά παραπτώματα, οι ποινές, οι λόγοι και η διαδικασία πρόωρης λήξης της θητείας των προϊσταμένων οργανικών μονάδων κάθε επιπέδου, ο τρόπος οικονομικής διαχείρισης, τα αρμόδια όργανα για την ανάθεση δημόσιων συμβάσεων κατά τον ν. 4412/2016 (Α’ 147), και ρυθμίζεται κάθε άλλο θέμα σχετικό με την οργάνωση και τη λειτουργία της Εταιρείας.</w:t>
      </w:r>
    </w:p>
    <w:p>
      <w:pPr>
        <w:numPr>
          <w:ilvl w:val="0"/>
          <w:numId w:val="30"/>
        </w:numPr>
      </w:pPr>
      <w:r>
        <w:rPr>
          <w:sz w:val="22"/>
          <w:szCs w:val="22"/>
        </w:rPr>
        <w:t xml:space="preserve">Ο Εσωτερικός Κανονισμός Οργάνωσης και Λειτουργίας της Εταιρείας εγκρίνεται με απόφαση του Διοικητικού Συμβουλίου της Εταιρείας, κατόπιν εισήγησης του Διευθύνοντος Συμβούλου και έγκρισης του Υπουργού Πολιτισμού, δημοσιεύεται στο Τεύχος Καταχώρισης Πράξεων και Στοιχείων Λοιπών Φορέων Δημόσιου και Ιδιωτικού Τομέα (ΠΡΑ.Δ.Ι.Τ.) της Εφημερίδας της Κυβερνήσεως και αναρτάται στον διαδικτυακό τόπο της Εταιρείας.</w:t>
      </w:r>
    </w:p>
    <w:p>
      <w:pPr>
        <w:jc w:val="both"/>
      </w:pPr>
      <w:r>
        <w:rPr>
          <w:sz w:val="22"/>
          <w:szCs w:val="22"/>
          <w:b w:val="1"/>
          <w:bCs w:val="1"/>
        </w:rPr>
        <w:t xml:space="preserve"> </w:t>
      </w:r>
    </w:p>
    <w:p>
      <w:pPr>
        <w:jc w:val="both"/>
      </w:pPr>
      <w:r>
        <w:rPr>
          <w:sz w:val="22"/>
          <w:szCs w:val="22"/>
          <w:b w:val="1"/>
          <w:bCs w:val="1"/>
        </w:rPr>
        <w:t xml:space="preserve">ΚΕΦΑΛΑΙΟ ΣΤ΄</w:t>
      </w:r>
    </w:p>
    <w:p>
      <w:pPr>
        <w:jc w:val="both"/>
      </w:pPr>
      <w:r>
        <w:rPr>
          <w:sz w:val="22"/>
          <w:szCs w:val="22"/>
          <w:b w:val="1"/>
          <w:bCs w:val="1"/>
        </w:rPr>
        <w:t xml:space="preserve">ΕΞΟΥΣΙΟΔΟΤΙΚΕΣ – ΤΕΛΙΚΕΣ – ΜΕΤΑΒΑΤΙΚΕΣ – ΚΑΤΑΡΓΟΥΜΕΝΕΣ ΔΙΑΤΑΞΕΙΣ ΜΕΡΟΥΣ Α΄</w:t>
      </w:r>
    </w:p>
    <w:p>
      <w:pPr>
        <w:jc w:val="both"/>
      </w:pPr>
      <w:r>
        <w:rPr>
          <w:sz w:val="22"/>
          <w:szCs w:val="22"/>
          <w:b w:val="1"/>
          <w:bCs w:val="1"/>
        </w:rPr>
        <w:t xml:space="preserve">Άρθρο 25</w:t>
      </w:r>
    </w:p>
    <w:p>
      <w:pPr>
        <w:jc w:val="both"/>
      </w:pPr>
      <w:r>
        <w:rPr>
          <w:sz w:val="22"/>
          <w:szCs w:val="22"/>
          <w:b w:val="1"/>
          <w:bCs w:val="1"/>
        </w:rPr>
        <w:t xml:space="preserve">Εξουσιοδοτικές διατάξεις Μέρους Α’</w:t>
      </w:r>
    </w:p>
    <w:p>
      <w:pPr>
        <w:numPr>
          <w:ilvl w:val="0"/>
          <w:numId w:val="31"/>
        </w:numPr>
      </w:pPr>
      <w:r>
        <w:rPr>
          <w:sz w:val="22"/>
          <w:szCs w:val="22"/>
        </w:rPr>
        <w:t xml:space="preserve">Με απόφαση της Γενικής Συνέλευσης της Εταιρείας μπορεί να παρατείνεται η διάρκειά της πέραν των πενήντα (50) ετών, όπως ορίζεται στην παρ. 5 του άρθρου 4.</w:t>
      </w:r>
    </w:p>
    <w:p>
      <w:pPr>
        <w:numPr>
          <w:ilvl w:val="0"/>
          <w:numId w:val="31"/>
        </w:numPr>
      </w:pPr>
      <w:r>
        <w:rPr>
          <w:sz w:val="22"/>
          <w:szCs w:val="22"/>
        </w:rPr>
        <w:t xml:space="preserve">Με απόφαση του Διευθύνοντος Συμβούλου της Εταιρείας μπορεί να μεταβιβάζονται στους προϊσταμένους της Εταιρείας συγκεκριμένες από τις αρμοδιότητες του άρθρου 13, με ενημέρωση του Διοικητικού Συμβουλίου στην αμέσως επόμενη συνεδρίασή του, και να ανακαλούνται με όμοια απόφαση.</w:t>
      </w:r>
    </w:p>
    <w:p>
      <w:pPr>
        <w:numPr>
          <w:ilvl w:val="0"/>
          <w:numId w:val="31"/>
        </w:numPr>
      </w:pPr>
      <w:r>
        <w:rPr>
          <w:sz w:val="22"/>
          <w:szCs w:val="22"/>
        </w:rPr>
        <w:t xml:space="preserve">Με κοινή απόφαση των Υπουργών Πολιτισμού και Εθνικής Οικονομίας και Οικονομικών καθορίζονται τα τέλη της παρ. 6 του άρθρου 7 για την παραχώρηση της χρήσης αρχαιολογικών χώρων, ιστορικών τόπων, μουσείων και μνημείων για τη διοργάνωση εκδηλώσεων ή δράσεων που σχετίζονται με την προαγωγή της τοπικής γαστρονομίας, ο τρόπος καταβολής αυτών στον Ο.Δ.Α.Π., καθώς και κάθε άλλο θέμα σχετικό με την εφαρμογή της παρούσας.</w:t>
      </w:r>
    </w:p>
    <w:p>
      <w:pPr>
        <w:numPr>
          <w:ilvl w:val="0"/>
          <w:numId w:val="31"/>
        </w:numPr>
      </w:pPr>
      <w:r>
        <w:rPr>
          <w:sz w:val="22"/>
          <w:szCs w:val="22"/>
        </w:rPr>
        <w:t xml:space="preserve">Με κοινή απόφαση των Υπουργών Πολιτισμού και Εθνικής Οικονομίας και Οικονομικών καθορίζονται οι αποδοχές των Γενικών Διευθυντών του άρθρου 22.</w:t>
      </w:r>
    </w:p>
    <w:p>
      <w:pPr>
        <w:numPr>
          <w:ilvl w:val="0"/>
          <w:numId w:val="31"/>
        </w:numPr>
      </w:pPr>
      <w:r>
        <w:rPr>
          <w:sz w:val="22"/>
          <w:szCs w:val="22"/>
        </w:rPr>
        <w:t xml:space="preserve">Για την έναρξη διάθεσης προϊόντων της αγροδιατροφικής αλυσίδας «Hellenic Heritage» από τα πωλητήρια του Ο.Δ.Α.Π., σε εφαρμογή της περ. ιγ) της παρ. 3 του άρθρου 11, με απόφαση του Υπουργού Πολιτισμού, μετά από πρόταση του Δ.Σ. της Εταιρείας, δύναται να καθορίζεται η διαδικασία συλλογής, επεξεργασίας και τυποποίησης των καρπών της χλωρίδας των αρχαιολογικών χώρων.</w:t>
      </w:r>
    </w:p>
    <w:p>
      <w:pPr>
        <w:jc w:val="both"/>
      </w:pPr>
      <w:r>
        <w:rPr>
          <w:sz w:val="22"/>
          <w:szCs w:val="22"/>
        </w:rPr>
        <w:t xml:space="preserve"> </w:t>
      </w:r>
    </w:p>
    <w:p>
      <w:pPr>
        <w:jc w:val="both"/>
      </w:pPr>
      <w:r>
        <w:rPr>
          <w:sz w:val="22"/>
          <w:szCs w:val="22"/>
          <w:b w:val="1"/>
          <w:bCs w:val="1"/>
        </w:rPr>
        <w:t xml:space="preserve">Άρθρο 26</w:t>
      </w:r>
    </w:p>
    <w:p>
      <w:pPr>
        <w:jc w:val="both"/>
      </w:pPr>
      <w:r>
        <w:rPr>
          <w:sz w:val="22"/>
          <w:szCs w:val="22"/>
          <w:b w:val="1"/>
          <w:bCs w:val="1"/>
        </w:rPr>
        <w:t xml:space="preserve">Τελικές διατάξεις</w:t>
      </w:r>
    </w:p>
    <w:p>
      <w:pPr>
        <w:numPr>
          <w:ilvl w:val="0"/>
          <w:numId w:val="32"/>
        </w:numPr>
      </w:pPr>
      <w:r>
        <w:rPr>
          <w:sz w:val="22"/>
          <w:szCs w:val="22"/>
        </w:rPr>
        <w:t xml:space="preserve">Με απόφαση του Υπουργού Πολιτισμού, η οποία εκδίδεται μετά από εισήγηση του Δ.Σ. της Εταιρείας, διαπιστώνεται η έναρξη της διοικητικής λειτουργίας αυτής, εφόσον:</w:t>
      </w:r>
    </w:p>
    <w:p>
      <w:pPr>
        <w:jc w:val="both"/>
      </w:pPr>
      <w:r>
        <w:rPr>
          <w:sz w:val="22"/>
          <w:szCs w:val="22"/>
        </w:rPr>
        <w:t xml:space="preserve">α) έχει εκδοθεί και δημοσιευθεί ο Εσωτερικός Κανονισμός Οργάνωσης και Λειτουργίας της Εταιρείας,</w:t>
      </w:r>
    </w:p>
    <w:p>
      <w:pPr>
        <w:jc w:val="both"/>
      </w:pPr>
      <w:r>
        <w:rPr>
          <w:sz w:val="22"/>
          <w:szCs w:val="22"/>
        </w:rPr>
        <w:t xml:space="preserve">β) έχει εγκριθεί ο Κανονισμός Λειτουργίας του Δ.Σ. της Εταιρείας και</w:t>
      </w:r>
    </w:p>
    <w:p>
      <w:pPr>
        <w:jc w:val="both"/>
      </w:pPr>
      <w:r>
        <w:rPr>
          <w:sz w:val="22"/>
          <w:szCs w:val="22"/>
        </w:rPr>
        <w:t xml:space="preserve">γ) έχουν τοποθετηθεί οι προϊστάμενοι των Γενικών Διευθύνσεων, Διευθύνσεων και Τμημάτων.</w:t>
      </w:r>
    </w:p>
    <w:p>
      <w:pPr>
        <w:numPr>
          <w:ilvl w:val="0"/>
          <w:numId w:val="33"/>
        </w:numPr>
      </w:pPr>
      <w:r>
        <w:rPr>
          <w:sz w:val="22"/>
          <w:szCs w:val="22"/>
        </w:rPr>
        <w:t xml:space="preserve">Από την έκδοση της διαπιστωτικής πράξης της παρ. 1 του παρόντος:</w:t>
      </w:r>
    </w:p>
    <w:p>
      <w:pPr>
        <w:jc w:val="both"/>
      </w:pPr>
      <w:r>
        <w:rPr>
          <w:sz w:val="22"/>
          <w:szCs w:val="22"/>
        </w:rPr>
        <w:t xml:space="preserve">α) εγκεκριμένα ψηφιακά προγράμματα ή ψηφιακά έργα σε εξέλιξη που έχουν αναληφθεί από τον Ο.Δ.Α.Π. και τα οποία σχετίζονται με την αποστολή και την εκπλήρωση των σκοπών της Εταιρείας συνεχίζονται χωρίς διακοπή και με τους ίδιους όρους από την Εταιρεία έως την προγραμματισμένη ημερομηνία λήξης τους. Ο Διευθύνων Σύμβουλος της Εταιρείας διασφαλίζει τη συνέχεια των προγραμμάτων αυτών με την ανάθεση καθηκόντων σε μέλη του προσωπικού της Εταιρείας και ρυθμίζει κάθε άλλο συναφές θέμα με αποφάσεις του,</w:t>
      </w:r>
    </w:p>
    <w:p>
      <w:pPr>
        <w:jc w:val="both"/>
      </w:pPr>
      <w:r>
        <w:rPr>
          <w:sz w:val="22"/>
          <w:szCs w:val="22"/>
        </w:rPr>
        <w:t xml:space="preserve">β) οι συμβάσεις προμηθειών και υπηρεσιών, αγοραπωλησιών, εκμισθώσεων, μισθώσεων και εν γένει παραχωρήσεων που έχει συνάψει ο Ο.Δ.Α.Π. και σχετίζονται με την αποστολή και την εκπλήρωση των σκοπών της Εταιρείας συνεχίζονται από την Εταιρεία, η οποία υπεισέρχεται ως ειδική διάδοχος στα δικαιώματα και στις υποχρεώσεις του Ο.Δ.Α.Π. που πηγάζουν από αυτές,</w:t>
      </w:r>
    </w:p>
    <w:p>
      <w:pPr>
        <w:jc w:val="both"/>
      </w:pPr>
      <w:r>
        <w:rPr>
          <w:sz w:val="22"/>
          <w:szCs w:val="22"/>
        </w:rPr>
        <w:t xml:space="preserve">γ) εκκρεμείς διαδικασίες ανάθεσης ή σύναψης συμβάσεων προμηθειών και υπηρεσιών, αγοραπωλησιών, εκμισθώσεων, μισθώσεων και εν γένει παραχωρήσεων, οι οποίες είχαν αρχίσει από τον Ο.Δ.Α.Π. και οι οποίες σχετίζονται με την αποστολή και την εκπλήρωση των σκοπών της Εταιρείας συνεχίζονται και ολοκληρώνονται χωρίς διακοπή και με τους ίδιους όρους από την Εταιρεία,</w:t>
      </w:r>
    </w:p>
    <w:p>
      <w:pPr>
        <w:jc w:val="both"/>
      </w:pPr>
      <w:r>
        <w:rPr>
          <w:sz w:val="22"/>
          <w:szCs w:val="22"/>
        </w:rPr>
        <w:t xml:space="preserve">δ) εκκρεμείς δικαστικές υποθέσεις και δίκες με διάδικο τον Ο.Δ.Α.Π., που σχετίζονται με την αποστολή και την εκπλήρωση των σκοπών της Εταιρείας, σε οποιοδήποτε δικονομικό στάδιο και εάν βρίσκονται, συνεχίζονται από την Εταιρεία χωρίς να επέρχεται διακοπή αυτών,</w:t>
      </w:r>
    </w:p>
    <w:p>
      <w:pPr>
        <w:jc w:val="both"/>
      </w:pPr>
      <w:r>
        <w:rPr>
          <w:sz w:val="22"/>
          <w:szCs w:val="22"/>
        </w:rPr>
        <w:t xml:space="preserve">ε) το επικοινωνιακό πλάνο που έχει εγκριθεί από τη Γενική Γραμματεία Επικοινωνίας και Ενημέρωσης και σχετίζεται με την αποστολή και την εκπλήρωση των σκοπών της Εταιρείας, ήτοι με δράσεις που αφορούν στην προώθηση και επικοινωνία των προϊόντων και υπηρεσιών Hellenic Heritage, συνεχίζεται από την Εταιρεία, η οποία υπεισέρχεται ως ειδική διάδοχος στα δικαιώματα και στις υποχρεώσεις του Ο.Δ.Α.Π. που πηγάζουν από αυτό.</w:t>
      </w:r>
    </w:p>
    <w:p>
      <w:pPr>
        <w:numPr>
          <w:ilvl w:val="0"/>
          <w:numId w:val="34"/>
        </w:numPr>
      </w:pPr>
      <w:r>
        <w:rPr>
          <w:sz w:val="22"/>
          <w:szCs w:val="22"/>
        </w:rPr>
        <w:t xml:space="preserve">Με απόφαση του Υπουργού Πολιτισμού συγκροτείται πενταμελής επιτροπή απογραφής από τρεις (3) υπαλλήλους του Υπουργείου Πολιτισμού και δύο (2) υπαλλήλους του Αυτοτελούς Τμήματος Παρακολούθησης και Ανάπτυξης Πόρων του Ο.Δ.Α.Π., για τη διενέργεια απογραφής, τη σύνταξη έκθεσης απογραφής της κινητής και ακίνητης περιουσίας, των αγοραπωλησιών, εκμισθώσεων, μισθώσεων και εν γένει παραχωρήσεων, των ψηφιακών έργων, των διαδικασιών προμηθειών και υπηρεσιών που ανατίθενται στην Εταιρεία από τον Ο.Δ.Α.Π., των εκκρεμών δικών στις οποίες καθίσταται διάδικος η Εταιρεία, καθώς και την καταγραφή κάθε αναγκαίου στοιχείου για την εκπλήρωση των σκοπών της Εταιρείας. Οι υπηρεσίες του Ο.Δ.Α.Π. υποχρεούνται να αποστέλλουν άμεσα όλα τα στοιχεία που ζητά η επιτροπή για την ολοκλήρωση του έργου της. Η έκθεση απογραφής υποβάλλεται από την ανωτέρω επιτροπή στο Δ.Σ. του Ο.Δ.Α.Π. και στον Υπουργό Πολιτισμού εντός ενός (1) μηνός από τη συγκρότησή της και διαβιβάζεται στο Διοικητικό Συμβούλιο της Εταιρείας και στους αρμόδιους Γενικούς Διευθυντές αυτής. Το Διοικητικό Συμβούλιο και οι αρμόδιοι Γενικοί Διευθυντές υποχρεούνται στην άμεση αξιοποίηση της έκθεσης με σκοπό την επίτευξη των σκοπών της Εταιρείας.</w:t>
      </w:r>
    </w:p>
    <w:p>
      <w:pPr>
        <w:jc w:val="both"/>
      </w:pPr>
      <w:r>
        <w:rPr>
          <w:sz w:val="22"/>
          <w:szCs w:val="22"/>
        </w:rPr>
        <w:t xml:space="preserve"> </w:t>
      </w:r>
    </w:p>
    <w:p>
      <w:pPr>
        <w:jc w:val="both"/>
      </w:pPr>
      <w:r>
        <w:rPr>
          <w:sz w:val="22"/>
          <w:szCs w:val="22"/>
          <w:b w:val="1"/>
          <w:bCs w:val="1"/>
        </w:rPr>
        <w:t xml:space="preserve">Άρθρο 27</w:t>
      </w:r>
    </w:p>
    <w:p>
      <w:pPr>
        <w:jc w:val="both"/>
      </w:pPr>
      <w:r>
        <w:rPr>
          <w:sz w:val="22"/>
          <w:szCs w:val="22"/>
          <w:b w:val="1"/>
          <w:bCs w:val="1"/>
        </w:rPr>
        <w:t xml:space="preserve">Μεταβατικές διατάξεις Μέρους Α’</w:t>
      </w:r>
    </w:p>
    <w:p>
      <w:pPr>
        <w:numPr>
          <w:ilvl w:val="0"/>
          <w:numId w:val="35"/>
        </w:numPr>
      </w:pPr>
      <w:r>
        <w:rPr>
          <w:sz w:val="22"/>
          <w:szCs w:val="22"/>
        </w:rPr>
        <w:t xml:space="preserve">Μέχρι την πλήρωση των θέσεων του Προέδρου και του Διευθύνοντος Συμβούλου της Εταιρείας, σύμφωνα με το άρθρο 16 του ν. 5271/2026 (Α΄ 11), περί διαδικασίας επιλογής οργάνων διοίκησης των νομικών προσώπων δημοσίου και ιδιωτικού δικαίου που εποπτεύονται από τον Υπουργό Πολιτισμού, με απόφαση του Υπουργού Πολιτισμού ορίζεται το προσωρινό Διοικητικό Συμβούλιο (Δ.Σ.) αυτής, το οποίο έχει το σύνολο των αρμοδιοτήτων, δικαιωμάτων και υποχρεώσεων που προβλέπονται από τον παρόντα για το Δ.Σ. της Εταιρείας, τηρουμένων των προβλέψεων της παρ. 5 του άρθρου 9. Η εν λόγω απόφαση ανακαλείται και τροποποιείται ελευθέρως οποτεδήποτε, χωρίς να γεννά οποιοδήποτε δικαίωμα αποζημίωσης στα μέλη του Δ.Σ. που αντικαθίστανται. Η Εταιρεία αποκτά νομική προσωπικότητα με την καταχώρισή της στο Γενικό Εμπορικό Μητρώο (Γ.Ε.ΜΗ.). Εντός δέκα (10) ημερολογιακών ημερών από την έκδοση της απόφασης του πρώτου εδαφίου, το Δ.Σ. συγκροτείται σε σώμα.</w:t>
      </w:r>
    </w:p>
    <w:p>
      <w:pPr>
        <w:numPr>
          <w:ilvl w:val="0"/>
          <w:numId w:val="35"/>
        </w:numPr>
      </w:pPr>
      <w:r>
        <w:rPr>
          <w:sz w:val="22"/>
          <w:szCs w:val="22"/>
        </w:rPr>
        <w:t xml:space="preserve">Μέχρι την έκδοση της διαπιστωτικής πράξης της παρ. 1 του άρθρου 26, οι αρμοδιότητες της Εταιρείας εξακολουθούν να ασκούνται από τον Ο.Δ.Α.Π.</w:t>
      </w:r>
    </w:p>
    <w:p>
      <w:pPr>
        <w:numPr>
          <w:ilvl w:val="0"/>
          <w:numId w:val="35"/>
        </w:numPr>
      </w:pPr>
      <w:r>
        <w:rPr>
          <w:sz w:val="22"/>
          <w:szCs w:val="22"/>
        </w:rPr>
        <w:t xml:space="preserve">Μέχρι την επαρκή στελέχωση της Γενικής Διεύθυνσης Διοικητικής, Οικονομικής Υποστήριξης και Ψηφιακής Διακυβέρνησης της Εταιρείας, η οποία διαπιστώνεται με πράξη του Υπουργού Πολιτισμού, μετά από εισήγηση του Δ.Σ. της Εταιρείας, και σε κάθε περίπτωση όχι πέραν της 31ης Δεκεμβρίου 2027, ως φορέας λειτουργίας για τη διοικητική και οικονομική υποστήριξη της Εταιρείας νοείται το Υπουργείο Πολιτισμού διά των αρμόδιων υπηρεσιών του.</w:t>
      </w:r>
    </w:p>
    <w:p>
      <w:pPr>
        <w:numPr>
          <w:ilvl w:val="0"/>
          <w:numId w:val="35"/>
        </w:numPr>
      </w:pPr>
      <w:r>
        <w:rPr>
          <w:sz w:val="22"/>
          <w:szCs w:val="22"/>
        </w:rPr>
        <w:t xml:space="preserve">Μέχρι την πλήρωση της Διεύθυνσης Νομικής Υποστήριξης της Εταιρείας με δικηγόρους με έμμισθη εντολή και προκειμένου για την εφαρμογή της περ. δ) της παρ. 2 του άρθρου 26, με απόφαση του Διευθύνοντος Συμβούλου, η οποία εκδίδεται μετά από εισήγηση του προϊσταμένου της Διεύθυνσης Νομικής Υποστήριξης, οι εκκρεμείς δικαστικές υποθέσεις και δίκες με διάδικο τον Ο.Δ.Α.Π., που σχετίζονται με την αποστολή και την εκπλήρωση των σκοπών της Εταιρείας και στις οποίες η Εταιρεία ενεργεί ως αντιπρόσωπος στο όνομα και για λογαριασμό του, ανατίθενται σε εξωτερικούς δικηγόρους ή δικηγορικές εταιρείες σύμφωνα με τις κείμενες διατάξεις.</w:t>
      </w:r>
    </w:p>
    <w:p>
      <w:pPr>
        <w:numPr>
          <w:ilvl w:val="0"/>
          <w:numId w:val="35"/>
        </w:numPr>
      </w:pPr>
      <w:r>
        <w:rPr>
          <w:sz w:val="22"/>
          <w:szCs w:val="22"/>
        </w:rPr>
        <w:t xml:space="preserve">Από την έναρξη ισχύος του Εσωτερικού Κανονισμού Οργάνωσης και Λειτουργίας της Εταιρείας, με απόφαση του Διευθύνοντος Συμβούλου, διορίζονται ή τοποθετούνται Γενικοί Διευθυντές, καθώς και οι προϊστάμενοι των λοιπών οργανικών μονάδων κάθε επιπέδου. Η θητεία των ως άνω Γενικών Διευθυντών ορίζεται έως τον διορισμό Γενικών Διευθυντών κατά το άρθρο 23 του ν. 4972/2022 (A’ 181) και η θητεία των προϊσταμένων των λοιπών οργανικών μονάδων ορίζεται έως τον διορισμό των Διευθυντών και Τμηματαρχών, σύμφωνα με τη διαδικασία επιλογής του Εσωτερικού Κανονισμού Οργάνωσης και Λειτουργίας της Εταιρείας του άρθρου 24, και πάντως δεν μπορεί να υπερβεί τα τρία (3) έτη.</w:t>
      </w:r>
    </w:p>
    <w:p>
      <w:pPr>
        <w:numPr>
          <w:ilvl w:val="0"/>
          <w:numId w:val="35"/>
        </w:numPr>
      </w:pPr>
      <w:r>
        <w:rPr>
          <w:sz w:val="22"/>
          <w:szCs w:val="22"/>
        </w:rPr>
        <w:t xml:space="preserve">6. Έως την πλήρωση των κενών οργανικών θέσεων της Εταιρείας, σύμφωνα με το άρθρο 21, και για διάστημα δύο (2) ετών από την έναρξη ισχύος του παρόντος νόμου, είναι δυνατή η κάλυψη αυτών με μετατάξεις ή αποσπάσεις μόνιμου προσωπικού και προσωπικού με σχέση εργασίας ιδιωτικού δικαίου αορίστου χρόνου των φορέων της Γενικής Κυβέρνησης, όπως αυτή ορίζεται στην περ. β) της παρ. 1 του άρθρου 14 του ν. 4270/2014 (Α΄ 143). Οι μετατάξεις και αποσπάσεις του πρώτου εδαφίου διενεργούνται σύμφωνα με το άρθρο 31 του ν. 4873/2021 (Α’248) περί κινητικότητας υπαλλήλων σε νεοσύστατες υπηρεσίες φορέων Γενικής Κυβέρνησης. Οι αποσπάσεις του πρώτου εδαφίου έχουν χρονική διάρκεια δύο (2) ετών και δύνανται να παρατείνονται για δύο (2) επιπλέον έτη. Οι υπάλληλοι που αποσπώνται στην Εταιρεία σύμφωνα με τα προβλεπόμενα στην παρούσα παράγραφο δύνανται να αιτηθούν τη μετάταξή τους σε αυτή μετά την παρέλευση τεσσάρων (4) ετών από την έναρξη της απόσπασής τους, διατηρούν τον βαθμό και το μισθολογικό κλιμάκιο που κατέχουν και ο χρόνος απόσπασής τους λογίζεται, για όλες τις συνέπειες, ως πραγματική υπηρεσία στην οργανική θέση τους. Οι αποσπάσεις του πρώτου εδαφίου διενεργούνται με την επιφύλαξη του άρθρου 36 του ν. 4778/2021 (Α’ 26), περί απαγόρευσης μετάταξης και απόσπασης υπαλλήλων του Ηλεκτρονικού Εθνικού Φορέα Κοινωνικής Ασφάλισης (e-ΕΦΚΑ).</w:t>
      </w:r>
    </w:p>
    <w:p>
      <w:pPr>
        <w:numPr>
          <w:ilvl w:val="0"/>
          <w:numId w:val="35"/>
        </w:numPr>
      </w:pPr>
      <w:r>
        <w:rPr>
          <w:sz w:val="22"/>
          <w:szCs w:val="22"/>
        </w:rPr>
        <w:t xml:space="preserve">Από την έκδοση της διαπιστωτικής πράξης της παρ. 1 του άρθρου 26 και για δύο (2) έτη, οι παρ. 1 και 2 του άρθρου 42Α του ν. 4761/2020 (Α’ 248), περί πρόσληψης προσωπικού ιδιωτικού δικαίου ορισμένου χρόνου για τις ανάγκες της κεντρικής υπηρεσίας, των πωλητηρίων και των εργαστηρίων του Ο.Δ.Α.Π., εφαρμόζονται και για την κάλυψη θέσεων προσωπικού της Εταιρείας που εκτελεί καθήκοντα ταμιών και διαχειριστών εσόδων. Η συνέντευξη διενεργείται από τον αρμόδιο προϊστάμενο της Γενικής Διεύθυνσης Διοικητικής, Οικονομικής Υποστήριξης και Ψηφιακής Διακυβέρνησης. Η περαιτέρω εξειδίκευση των κριτηρίων επιλογής, ο τρόπος εκτίμησής τους και κάθε άλλο θέμα σχετικό με τη διαδικασία επιλογής του προσωπικού του παρόντος καθορίζονται με απόφαση του Διοικητικού Συμβουλίου της Εταιρείας, η οποία εκδίδεται ύστερα από εισήγηση του Διευθύνοντος Συμβούλου αυτής. Αν το προσωπικό που προσλαμβάνεται κατ’ εφαρμογή της παρούσας δεν επαρκεί για την κάλυψη των απαιτούμενων θέσεων ταμιών ή διαχειριστών εσόδων, οι εναπομείνασες θέσεις καλύπτονται από προσωπικό με σχέση εργασίας ιδιωτικού δικαίου ορισμένου χρόνου που προσλαμβάνει το Υπουργείο Πολιτισμού, σύμφωνα με τον ν. 4765/2021 (Α’ 6), περί εκσυγχρονισμού του συστήματος προσλήψεων στον δημόσιο τομέα και ενίσχυσης του Ανώτατου Συμβουλίου Επιλογής Προσωπικού (Α.Σ.Ε.Π.).</w:t>
      </w:r>
    </w:p>
    <w:p>
      <w:pPr>
        <w:numPr>
          <w:ilvl w:val="0"/>
          <w:numId w:val="35"/>
        </w:numPr>
      </w:pPr>
      <w:r>
        <w:rPr>
          <w:sz w:val="22"/>
          <w:szCs w:val="22"/>
        </w:rPr>
        <w:t xml:space="preserve">Κατά την πρώτη εφαρμογή του παρόντος, ο Ο.Δ.Α.Π. υποχρεούται, εντός ενός (1) μηνός από τον διορισμό του Δ.Σ. της Εταιρείας, να καταβάλλει στην Εταιρεία εφάπαξ επιχορήγηση ποσού τριών εκατομμυρίων (3.000.000) ευρώ.</w:t>
      </w:r>
    </w:p>
    <w:p>
      <w:pPr>
        <w:numPr>
          <w:ilvl w:val="0"/>
          <w:numId w:val="35"/>
        </w:numPr>
      </w:pPr>
      <w:r>
        <w:rPr>
          <w:sz w:val="22"/>
          <w:szCs w:val="22"/>
        </w:rPr>
        <w:t xml:space="preserve">Μέχρι την έκδοση της διαπιστωτικής πράξης της παρ. 1 του άρθρου 26, οι κανονιστικές πράξεις των παρ. 12, 13 και 14 του άρθρου 45 του ν. 4761/2020, όπως τροποποιούνται με το άρθρο 51, εκδίδονται χωρίς την εισήγηση του Δ.Σ. της Εταιρείας.</w:t>
      </w:r>
    </w:p>
    <w:p>
      <w:pPr>
        <w:jc w:val="both"/>
      </w:pPr>
      <w:r>
        <w:rPr>
          <w:sz w:val="22"/>
          <w:szCs w:val="22"/>
        </w:rPr>
        <w:t xml:space="preserve"> </w:t>
      </w:r>
    </w:p>
    <w:p>
      <w:pPr>
        <w:jc w:val="both"/>
      </w:pPr>
      <w:r>
        <w:rPr>
          <w:sz w:val="22"/>
          <w:szCs w:val="22"/>
          <w:b w:val="1"/>
          <w:bCs w:val="1"/>
        </w:rPr>
        <w:t xml:space="preserve">Άρθρο 28</w:t>
      </w:r>
    </w:p>
    <w:p>
      <w:pPr>
        <w:jc w:val="both"/>
      </w:pPr>
      <w:r>
        <w:rPr>
          <w:sz w:val="22"/>
          <w:szCs w:val="22"/>
          <w:b w:val="1"/>
          <w:bCs w:val="1"/>
        </w:rPr>
        <w:t xml:space="preserve">Καταργούμενες διατάξεις Μέρους Α’</w:t>
      </w:r>
    </w:p>
    <w:p>
      <w:pPr>
        <w:jc w:val="both"/>
      </w:pPr>
      <w:r>
        <w:rPr>
          <w:sz w:val="22"/>
          <w:szCs w:val="22"/>
        </w:rPr>
        <w:t xml:space="preserve">Από την έκδοση της διαπιστωτικής πράξης του Υπουργού Πολιτισμού της παρ. 1 του άρθρου 26 καταργούνται:</w:t>
      </w:r>
    </w:p>
    <w:p>
      <w:pPr>
        <w:jc w:val="both"/>
      </w:pPr>
      <w:r>
        <w:rPr>
          <w:sz w:val="22"/>
          <w:szCs w:val="22"/>
        </w:rPr>
        <w:t xml:space="preserve">α) η παρ. 1 του άρθρου 5 του ν. 4761/2020 (Α’ 248), περί ειδικών μέσων εκπλήρωσης σκοπών του Ο.Δ.Α.Π., και</w:t>
      </w:r>
    </w:p>
    <w:p>
      <w:pPr>
        <w:jc w:val="both"/>
      </w:pPr>
      <w:r>
        <w:rPr>
          <w:sz w:val="22"/>
          <w:szCs w:val="22"/>
        </w:rPr>
        <w:t xml:space="preserve">β) το άρθρο 35 του ν. 4761/2020, περί περιφερειακών υπηρεσιών του Ο.Δ.Α.Π.</w:t>
      </w:r>
    </w:p>
    <w:p/>
    <w:p>
      <w:pPr/>
      <w:r>
        <w:rPr>
          <w:sz w:val="22"/>
          <w:szCs w:val="22"/>
          <w:b w:val="1"/>
          <w:bCs w:val="1"/>
        </w:rPr>
        <w:t xml:space="preserve">Σχόλια επί της ενότητας 1</w:t>
      </w:r>
    </w:p>
    <w:p>
      <w:pPr/>
      <w:r>
        <w:rPr>
          <w:b w:val="1"/>
          <w:bCs w:val="1"/>
        </w:rPr>
        <w:t xml:space="preserve">ΕΛΕΝΑ – 10 Ιουλίου 2026, 00:22</w:t>
      </w:r>
    </w:p>
    <w:p>
      <w:pPr/>
      <w:r>
        <w:rPr/>
        <w:t xml:space="preserve">Η κ. Υπουργός μας ζητά να σχολιάσουμε μέσα σε μόλις 11 ημέρες, ένα σοβαρό νομοσχέδιο 136 άρθρων, χωρίς να μας στείλει και την αιτιολογική έκθεση!!! Νομίζω ότι είναι προφανές ότι αυτό παραβιάζει τον κανόνα και το πνεύμα της δημόσιας διαβούλευσης.</w:t>
      </w:r>
    </w:p>
    <w:p/>
    <w:p>
      <w:pPr/>
      <w:r>
        <w:rPr>
          <w:b w:val="1"/>
          <w:bCs w:val="1"/>
        </w:rPr>
        <w:t xml:space="preserve">ΠΑΝΕΛΛΗΝΙΑ ΟΜΟΣΠΟΝΔΙΑ ΘΕΑΜΑΤΟΣ ΑΚΡΟΑΜΑΤΟΣ – 15 Ιουλίου 2026, 11:44</w:t>
      </w:r>
    </w:p>
    <w:p>
      <w:pPr/>
      <w:r>
        <w:rPr/>
        <w:t xml:space="preserve">Προς: • Υπουργό Πολιτισμού, κα Στυλιανή Μενδώνη </w:t>
      </w:r>
    </w:p>
    <w:p/>
    <w:p>
      <w:pPr/>
      <w:r>
        <w:rPr/>
        <w:t xml:space="preserve">• Υφυπουργό Σύγχρονου Πολιτισμού, κο Ιάσονα Φωτήλα </w:t>
      </w:r>
    </w:p>
    <w:p/>
    <w:p>
      <w:pPr/>
      <w:r>
        <w:rPr/>
        <w:t xml:space="preserve">Κοινοποίηση: • Γενική Γραμματέα Σύγχρονου Πολιτισμού, κα Ελένη Δουνδουλάκη </w:t>
      </w:r>
    </w:p>
    <w:p/>
    <w:p/>
    <w:p>
      <w:pPr/>
      <w:r>
        <w:rPr/>
        <w:t xml:space="preserve">Αξιότιμη Κυρία Υπουργέ, </w:t>
      </w:r>
    </w:p>
    <w:p/>
    <w:p>
      <w:pPr/>
      <w:r>
        <w:rPr/>
        <w:t xml:space="preserve">Αξιότιμε Κύριε Υφυπουργέ Σύγχρονου Πολιτισμού,</w:t>
      </w:r>
    </w:p>
    <w:p/>
    <w:p>
      <w:pPr/>
      <w:r>
        <w:rPr/>
        <w:t xml:space="preserve">Αξιότιμη Κυρία Γενική Γραμματέα Σύγχρονου Πολιτισμού, </w:t>
      </w:r>
    </w:p>
    <w:p/>
    <w:p/>
    <w:p>
      <w:pPr/>
      <w:r>
        <w:rPr/>
        <w:t xml:space="preserve">Τέθηκε σε Δημόσια ηλεκτρονική διαβούλευση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Πόρων(Ο.Δ.Α.Π.)-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
    <w:p>
      <w:pPr/>
      <w:r>
        <w:rPr/>
        <w:t xml:space="preserve"> Όπως γνωρίζετε, το νομοσχέδιο περιλαμβάνει το σχέδιο δράσης για την ανάπτυξη του Οπτικοακουστικού Τομέα, διατάξεις που αφορούν τη διαχείριση και διανομή αδιάθετων ποσών πνευματικών και συγγενικών δικαιωμάτων και διαδικαστικών δικονομικών θεμάτων, θέματα που αφορούν το Μητρώο Απασχολουμένων στον Πολιτισμό, καθώς και Θέματα Οργανισμού Πνευματικής Ιδιοκτησίας και διανομής εσόδων της υπό καθεστώς πτωχεύσεως ΑΕΠΙ. </w:t>
      </w:r>
    </w:p>
    <w:p/>
    <w:p/>
    <w:p>
      <w:pPr/>
      <w:r>
        <w:rPr/>
        <w:t xml:space="preserve">Τα ζητήματα αυτά έχουν απασχολήσει πολλές φορές την Ομοσπονδία και τα σωματεία μας.</w:t>
      </w:r>
    </w:p>
    <w:p/>
    <w:p/>
    <w:p>
      <w:pPr/>
      <w:r>
        <w:rPr/>
        <w:t xml:space="preserve">Για πολλά από αυτά τα ζητήματα κιόλας έχουμε επανειλημμένα ζητήσει και συνάντηση για να συζητήσουμε μαζί σας. Η προθεσμία κατάθεσης σχολίων στην Δημόσια Διαβούλευση είναι μέχρι την Δευτέρα, 20 Ιουλίου 2026 ώρα 09:00. Παρόλα αυτά και παρά τον μεγάλο όγκο του νομοσχεδίου, εχθές 13-7-2026 η διαδικασία της διαβούλευσης παρέμεινε κλειστή λόγω αναβάθμισης και συντήρησης της πλατφόρμας. </w:t>
      </w:r>
    </w:p>
    <w:p/>
    <w:p/>
    <w:p>
      <w:pPr/>
      <w:r>
        <w:rPr/>
        <w:t xml:space="preserve">Σας επισημαίνουμε επίσης ότι κατά την πρόσβαση στην ιστοσελίδα της δημόσιας διαβούλευσης, ακόμη και σήμερα παρατηρούνται προβλήματα υποδεικνύοντας περιστασιακά την ένδειξη “ERROR” και πρέπει οι ενδιαφερόμενοι να προσπαθήσουν περαιτέρω για την πρόσβασή τους σε αυτή. Για τους λόγους αυτούς ζητάμε την επέκταση της περιόδου δημόσιας διαβούλευσης κατά μία εβδομάδα, όπως ακριβώς ορίζει και ο νόμος 4622/2019 και να κλείσει η Δημόσια Διαβούλευση στις 27/7/2026.</w:t>
      </w:r>
    </w:p>
    <w:p/>
    <w:p/>
    <w:p>
      <w:pPr/>
      <w:r>
        <w:rPr/>
        <w:t xml:space="preserve">Είναι σημαντικό ο κλάδος μας να έχει επαρκή χρόνο για να κατανοήσει πλήρως το νομοσχέδιο, τις αλλαγές και τις επιπτώσεις που θα επιφέρει ώστε να έχει μια ολοκληρωμένη τεκμηρίωση αλλά και να δοθεί η δυνατότητα να υποβληθούν γόνιμες και τεκμηριωμένες προτάσεις επί αυτού</w:t>
      </w:r>
    </w:p>
    <w:p/>
    <w:p>
      <w:pPr/>
      <w:r>
        <w:rPr>
          <w:b w:val="1"/>
          <w:bCs w:val="1"/>
        </w:rPr>
        <w:t xml:space="preserve">Α********* Π************** – 16 Ιουλίου 2026, 10:03</w:t>
      </w:r>
    </w:p>
    <w:p>
      <w:pPr/>
      <w:r>
        <w:rPr/>
        <w:t xml:space="preserve">Αν διαβάσει κανείς με προσοχή το πλήθος των αρμοδιοτήτων που δίνονται στην ανώνυμη εταιρεία (άρθρα 5,6 και 7), είναι ολοφάνερο ότι υποκαθιστά πλήρως τον ΟΔΑΠ;  Συνεπώς, ας έχουμε το θάρρος να πούμε ότι τον καταργούμε, τουλάχιστον να μην πληρώνουμε το Δ.Σ., τους υπαλλήλους και τους δικηγόρους του.</w:t>
      </w:r>
    </w:p>
    <w:p/>
    <w:p>
      <w:pPr/>
      <w:r>
        <w:rPr>
          <w:b w:val="1"/>
          <w:bCs w:val="1"/>
        </w:rPr>
        <w:t xml:space="preserve">Α********* Π************** – 16 Ιουλίου 2026, 10:12</w:t>
      </w:r>
    </w:p>
    <w:p>
      <w:pPr/>
      <w:r>
        <w:rPr/>
        <w:t xml:space="preserve">Το σχόλιο αφορά στο άρθρο 7 παρ. 11: Είναι νόμιμο, η ανώνυμη εταιρεία να εκπροσωπεί δικαστικά το Υπουργείο Πολιτισμού, το οποίο, όπως όλα τα υπόλοιπα Υπουργεία, είναι φορέας γενικής κυβέρνησης και εκπροσωπείται δικαστικά από το Νομικό Συμβούλιο του Κράτους;</w:t>
      </w:r>
    </w:p>
    <w:p/>
    <w:p>
      <w:pPr/>
      <w:r>
        <w:rPr>
          <w:b w:val="1"/>
          <w:bCs w:val="1"/>
        </w:rPr>
        <w:t xml:space="preserve">Α********* Π************** – 16 Ιουλίου 2026, 10:19</w:t>
      </w:r>
    </w:p>
    <w:p>
      <w:pPr/>
      <w:r>
        <w:rPr/>
        <w:t xml:space="preserve">Είναι νόμιμη η πρόβλεψη στο αρθρο 5 οτι η ανώνυμη εταιρεία θα υποστηρίζει το Υπουργείο στο σχεδιασμό της πολιτιστικής πολιτικής;;; Είναι νόμιμη η πρόβλεψη στο άρθρο 7 ότι η ανώνυμη εταιρεία θα εκδίδει διοικητικές πράξεις (πρωτοκολλα διοικητικής αποβολής και πρόστιμα αυθαίρετης χρήσης), σαν να είναι δημόσια υπηρεσία;</w:t>
      </w:r>
    </w:p>
    <w:p/>
    <w:p>
      <w:pPr/>
      <w:r>
        <w:rPr>
          <w:b w:val="1"/>
          <w:bCs w:val="1"/>
        </w:rPr>
        <w:t xml:space="preserve">Α********* Π************** – 16 Ιουλίου 2026, 11:21</w:t>
      </w:r>
    </w:p>
    <w:p>
      <w:pPr/>
      <w:r>
        <w:rPr/>
        <w:t xml:space="preserve">Το σχόλιο αφορά στο άρθρο 47: Ο ΟΔΑΠ, δεν έχει πια δικαστικές υποθέσεις διότι τις έχει δώσει στην ανώνυμη εταιρεία, η οποία χρηματοδοτείται από το Δημόσιο για να προσλάβει άλλους ιδιώτες δικηγόρους, οι οποίοι δεν θα ασχολούνται με όλες τις υποθέσεις της ανώνυμης εταιρείας αλλά θα γίνονται και "αναθέσεις" σε άλλα επιπλέον ιδιωτικά δικηγορικά γραφεία ! Επίσης, ο ΟΔΑΠ θα έχει και άλλο δικό του "γραφείο νομικής υποστήριξης" με προϊστάμενο και δικηγόρους, οι οποίοι, αφού δεν θα έχουν δικαστικές υποθέσεις (τις έχει η α.ε.), θα πληρώνονται, επίσης με δημόσιο χρήμα, για να "συμβουλεύουν" ! Και επιπλέον, ο ΟΔΑΠ θα έχει και γραφείο του Νομικού Συμβουλίου του Κράτους, ο δε Νομικός Σύμβουλος του Κράτους (που είναι ο μόνος δημόσιος υπάλληλος σε όλο αυτό το νομικό πλήθος), δεν θα προϊσταται των ιδιωτών δικηγόρων αλλά οφείλει να "συνεργάζεται" με αυτούς, ενώ δεν έχει κανέναν έλεγχο επί των ιδιωτών δικηγόρων της ανώνυμης εταιρείας! Και το δέχεται αυτό η Πρόεδρος του Νομικού Συμβουλίου του Κράτους; Τι θα πει ¨συνεργάζεται"; Τι θα πει ότι το γραφείο νομικής υποστήριξης του ΟΔΑΠ είναι "αδιαβάθμητο";</w:t>
      </w:r>
    </w:p>
    <w:p/>
    <w:p>
      <w:pPr/>
      <w:r>
        <w:rPr>
          <w:b w:val="1"/>
          <w:bCs w:val="1"/>
        </w:rPr>
        <w:t xml:space="preserve">Λάμπρος – 16 Ιουλίου 2026, 18:25</w:t>
      </w:r>
    </w:p>
    <w:p>
      <w:pPr/>
      <w:r>
        <w:rPr/>
        <w:t xml:space="preserve">Θέμα: Συμπερίληψη της ειδικότητας «Αντιγραφείς Μνημείων και Εκθεμάτων» και των αποφοίτων της στον σχεδιασμό του ΟΔΑΠΠροκαλεί ιδιαίτερη εντύπωση το γεγονός ότι το σχέδιο που τέθηκε σε δημόσια διαβούλευση δεν περιλαμβάνει καμία απολύτως αναφορά στην ειδικότητα «Αντιγραφείς Μνημείων και Εκθεμάτων», η οποία δημιουργήθηκε με την ουσιαστική συμμετοχή του ίδιου του ΟΔΑΠ, ούτε στους αποφοίτους της.Η παράλειψη αυτή στερείται αντικειμενικής αιτιολόγησης, καθώς ο ΟΔΑΠ είχε πρωταγωνιστικό ρόλο στην υλοποίηση της συγκεκριμένης ειδικότητας. Ο Οργανισμός προέβαλε την ίδρυσή της μέσω της επίσημης ιστοσελίδας του, ενώ το μεγαλύτερο μέρος της εκπαίδευσης (θεωρητικής και εργαστηριακής) πραγματοποιήθηκε στις εγκαταστάσεις του, με τη χρήση του δικού του εξοπλισμού και υλικών. Η ενεργός αυτή εμπλοκή αποδεικνύει τη στρατηγική σύνδεση της ειδικότητας με τις λειτουργικές ανάγκες του Οργανισμού.Επιπλέον, σημειώνεται ότι η πλειονότητα των σπουδαστών δεν ήταν ανειδίκευτοι, αλλά ήδη καταξιωμένοι επαγγελματίες συντηρητές και καλλιτέχνες με πολυετή εμπειρία στο αντικείμενο που ο ΟΔΑΠ (και παλαιότερα το ΤΑΠ/ΤΑΠΑ) υπηρετεί επί δεκαετίες. Η δημιουργία της σχολής ήρθε να καλύψει πραγματικές, υφιστάμενες ανάγκες και όχι θεωρητικές αναζητήσεις.Κατόπιν των ανωτέρω, η πλήρης απουσία της εν λόγω ειδικότητας από τον μελλοντικό σχεδιασμό έρχεται σε πλήρη αντίθεση με τις προγενέστερες ενέργειες και δεσμεύσεις του Οργανισμού.Πρόταση / Αίτημα:Ζητείται η άμεση τροποποίηση του σχεδίου ώστε να προβλεφθεί ρητά η αξιοποίηση της ειδικότητας «Αντιγραφείς Μνημείων και Εκθεμάτων» και των αποφοίτων της στις δομές, τα εργαστήρια και τη στελέχωση του ΟΔΑΠ, καθώς και η παροχή μιας επίσημης και τεκμηριωμένης απάντησης σχετικά με τους λόγους της αρχικής παράλειψης.</w:t>
      </w:r>
    </w:p>
    <w:p/>
    <w:p>
      <w:pPr/>
      <w:r>
        <w:rPr>
          <w:b w:val="1"/>
          <w:bCs w:val="1"/>
        </w:rPr>
        <w:t xml:space="preserve">ΑΓΓΕΛΙΚΗ ΑΛΕΦΡΑΓΚΗ – 16 Ιουλίου 2026, 18:33</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w:t>
      </w:r>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να επισημανθεί ότι η πλειονότητα των σπουδαστών δεν ήταν νέοι χωρίς επαγγελματική εμπειρία, αλλά ήδη ενεργοί συντηρητές έργων τέχνης, καλλιτέχνες και εξειδικευμένοι τεχνίτες,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w:t>
      </w:r>
    </w:p>
    <w:p/>
    <w:p>
      <w:pPr/>
      <w:r>
        <w:rPr/>
        <w:t xml:space="preserve">Δεν ζητούμε διορισμό ούτε εξαίρεση από τις διαδικασίες προσλήψεων.</w:t>
      </w:r>
    </w:p>
    <w:p/>
    <w:p>
      <w:pPr/>
      <w:r>
        <w:rPr/>
        <w:t xml:space="preserve">Ζητούμε να υπάρξει θεσμική συνέπεια.</w:t>
      </w:r>
    </w:p>
    <w:p/>
    <w:p>
      <w:pPr/>
      <w:r>
        <w:rPr/>
        <w:t xml:space="preserve">Ζητούμε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εκπαίδευσή μας και δήλωσε δημόσια τον σκοπό της. Η απουσία οποιασδήποτε μεταβατικής πρόβλεψης δημιουργεί ένα πραγματικό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R****i K***a – 16 Ιουλίου 2026, 19:00</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«Τεχνίτης Εκμαγείων και Αντιγραφέας Μνημείων και Έργων Τέχνης» και αποκατάσταση του θεσμικού κενού που δημιουργείται από τη μη συμπερίληψή τους</w:t>
      </w:r>
    </w:p>
    <w:p/>
    <w:p>
      <w:pPr/>
      <w:r>
        <w:rPr/>
        <w:t xml:space="preserve">Το υπό διαβούλευση σχέδιο νόμου ιδρύει την εταιρεία «Οργανισμός Ανάπτυξης και Διαχείρισης Ελληνικής Πολιτιστικής Κληρονομιάς Α.Ε. (Hellenic Heritage)», στην οποία μεταφέρεται, μεταξύ άλλων,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αναλυτικά τη μεταφορά αρμοδιοτήτων, συμβάσεων, υποδομών και περιουσίας, δεν περιλαμβάνει καμία απολύτως μεταβατική πρόβλεψη για τους αποφοίτους της μοναδικής δημόσιας ειδικότητας που δημιουργήθηκε ακριβώς για την κάλυψη των αναγκών του συγκεκριμένου αντικειμένου.</w:t>
      </w:r>
    </w:p>
    <w:p/>
    <w:p>
      <w:pPr/>
      <w:r>
        <w:rPr/>
        <w:t xml:space="preserve">Η παράλειψη αυτή προκαλεί εύλογο προβληματισμό και είναι ιδιαίτερα δύσκολο να δικαιολογηθεί. Η ειδικότητα «Τεχνίτης Εκμαγείων και Αντιγραφέας Μνημείων και Έργων Τέχνης» δεν αποτέλεσε μια γενική εκπαιδευτική πρωτοβουλία, αλλά δημιουργήθηκε με την ενεργό συνεργασία του Υπουργείου Πολιτισμού και του ΟΔΑΠ, προκειμένου να καλυφθούν πραγματικές και διαρκείς ανάγκες των εργαστηρίων του Οργανισμού.</w:t>
      </w:r>
    </w:p>
    <w:p/>
    <w:p>
      <w:pPr/>
      <w:r>
        <w:rPr/>
        <w:t xml:space="preserve">Ο ΟΔΑΠ δεν είχε έναν τυπικό ή περιφερειακό ρόλο στην υλοποίηση της ειδικότητας. Αντιθέτως, συμμετείχε ουσιαστικά στον σχεδιασμό και την ανάπτυξή της, προέβαλε επίσημα την ίδρυσή της μέσω της ιστοσελίδας του, διέθεσε τις εγκαταστάσεις, τα εργαστήρια, τον εξοπλισμό, τα εργαλεία και τα υλικά του για την εκπαίδευση των σπουδαστών, ενώ το μεγαλύτερο μέρος της πρακτικής κατάρτισης πραγματοποιήθηκε στα εργαστήριά του. Τα στοιχεία αυτά αποδεικνύουν ότι η εκπαίδευση οργανώθηκε σε άμεση συνάρτηση με το πραγματικό αντικείμενο εργασίας και τις επιχειρησιακές ανάγκες του ΟΔΑΠ.</w:t>
      </w:r>
    </w:p>
    <w:p/>
    <w:p>
      <w:pPr/>
      <w:r>
        <w:rPr/>
        <w:t xml:space="preserve">Η σύνδεση αυτή επιβεβαιώθηκε και από την ίδια την Υπουργό Πολιτισμού, κα Λίνα Μενδώνη, η οποία δήλωσε δημόσια ότι στόχος της ίδρυσης της ειδικότητας ήταν η εκπαίδευση πιστοποιημένων τεχνιτών εκμαγείων, ότι ο ΟΔΑΠ προετοίμασε τα απαραίτητα εκπαιδευτικά εγχειρίδια, ότι η πρακτική εκπαίδευση πραγματοποιείται στα εργαστήρια του ΟΔΑΠ και ότι οι απόφοιτοι θα μπορούν να απορροφηθούν από τον Οργανισμό. Οι επίσημες αυτές δηλώσεις καταδεικνύουν ότι η συγκεκριμένη ειδικότητα δημιουργήθηκε ως στοχευμένη δημόσια πολιτική για την κάλυψη συγκεκριμένων υπηρεσιακών αναγκών.</w:t>
      </w:r>
    </w:p>
    <w:p/>
    <w:p>
      <w:pPr/>
      <w:r>
        <w:rPr/>
        <w:t xml:space="preserve">Ανταποκρινόμενοι στην πρόσκληση της ίδιας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επίσης, να επισημανθεί ότι η πλειονότητα των σπουδαστών δεν αποτελείται από νέους χωρίς επαγγελματική εμπειρία. Πρόκειται για ήδη ενεργούς συντηρητές έργων τέχνης, καλλιτέχνες και εξειδικευμένους τεχνίτες, δηλαδή επαγγελματίες των ίδιων ειδικοτήτων που επί δεκαετίες αξιοποιούσαν το ΤΑΠ, το ΤΑΠΑ και στη συνέχεια ο ΟΔΑΠ στα εργαστήρια παραγωγής εκμαγείων και πιστοποιημένων αντιγράφων. Η Πολιτεία, επομένως, δεν επένδυσε στη δημιουργία μιας θεωρητικής εκπαιδευτικής δομής, αλλά στην περαιτέρω εξειδίκευση ανθρώπινου δυναμικού σε ένα αντικείμενο που η ίδια αναγνώρισε ως κρίσιμο για τη διαφύλαξη και την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Παρά ταύτα, το σχέδιο νόμου δεν περιλαμβάνει καμία πρόβλεψη για τους ανθρώπους που εκπαιδεύτηκαν ειδικά για να το υπηρετήσουν. Η πλήρης απουσία οποιασδήποτε αναφοράς στην ειδικότητα και στους αποφοίτους της δημιουργεί σοβαρή αντίφαση σε σχέση με τις μέχρι σήμερα δημόσιες ενέργειες και τις επίσημες δηλώσεις του Υπουργείου Πολιτισμού και του ΟΔΑΠ, ενώ παράλληλα δημιουργεί ένα πραγματικό θεσμικό κενό.</w:t>
      </w:r>
    </w:p>
    <w:p/>
    <w:p>
      <w:pPr/>
      <w:r>
        <w:rPr/>
        <w:t xml:space="preserve">Δεν ζητούμε διορισμό ούτε εξαίρεση από τις προβλεπόμενες διαδικασίες προσλήψεων. Ζητούμε τη θεσμική συνέπεια της Διοίκησης και την προστασία της δικαιολογημένης εμπιστοσύνης που η ίδια η Πολιτεία δημιούργησε με τις πράξεις και τις δημόσιες δεσμεύσεις της.</w:t>
      </w:r>
    </w:p>
    <w:p/>
    <w:p>
      <w:pPr/>
      <w:r>
        <w:rPr/>
        <w:t xml:space="preserve">Για τον λόγο αυτό, προτείνεται η προσθήκη μεταβατικής διάταξης στο άρθρο 27, η οποία θα προβλέπει την αξιοποίηση ή τη δυνατότητα συμμετοχής των αποφοίτων της ειδικότητας «Τεχνίτης Εκμαγείων και Αντιγραφέας Μνημείων και Έργων Τέχνης» στον σχεδιασμό στελέχωσης των εργαστηρίων της νέας εταιρείας, σύμφωνα με τις αρχές της αξιοκρατίας, της ισότητας και της ισχύουσας νομοθεσίας.</w:t>
      </w:r>
    </w:p>
    <w:p/>
    <w:p>
      <w:pPr/>
      <w:r>
        <w:rPr/>
        <w:t xml:space="preserve">Η προτεινόμενη μεταβατική ρύθμιση δεν συνιστά προνομιακή μεταχείριση ούτε παρέκκλιση από τις διαδικασίες πρόσληψης. Αντιθέτως, αποτελεί τη φυσική και θεσμικά αναγκαία συνέχεια μιας δημόσιας πολιτικής που η ίδια η Πολιτεία σχεδίασε, ανακοίνωσε, χρηματοδότησε και υλοποίησε, προκειμένου να καλύψει ανάγκες οι οποίες εξακολουθούν να υφίστανται και μεταφέρονται αυτούσιες στη νέα εταιρεία.</w:t>
      </w:r>
    </w:p>
    <w:p/>
    <w:p>
      <w:pPr/>
      <w:r>
        <w:rPr>
          <w:b w:val="1"/>
          <w:bCs w:val="1"/>
        </w:rPr>
        <w:t xml:space="preserve">Χαρίκλεια Σκουλά – 16 Ιουλίου 2026, 19:00</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w:t>
      </w:r>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να επισημανθεί ότι η πλειονότητα των σπουδαστών δεν ήταν νέοι χωρίς επαγγελματική εμπειρία, αλλά ήδη ενεργοί συντηρητές έργων τέχνης, καλλιτέχνες και εξειδικευμένοι τεχνίτες,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w:t>
      </w:r>
    </w:p>
    <w:p/>
    <w:p>
      <w:pPr/>
      <w:r>
        <w:rPr/>
        <w:t xml:space="preserve">Δεν ζητούμε διορισμό ούτε εξαίρεση από τις διαδικασίες προσλήψεων.</w:t>
      </w:r>
    </w:p>
    <w:p/>
    <w:p>
      <w:pPr/>
      <w:r>
        <w:rPr/>
        <w:t xml:space="preserve">Ζητούμε να υπάρξει θεσμική συνέπεια.</w:t>
      </w:r>
    </w:p>
    <w:p/>
    <w:p>
      <w:pPr/>
      <w:r>
        <w:rPr/>
        <w:t xml:space="preserve">Ζητούμε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εκπαίδευσή μας και δήλωσε δημόσια τον σκοπό της. Η απουσία οποιασδήποτε μεταβατικής πρόβλεψης δημιουργεί ένα πραγματικό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Π********** Χ*****************α – 16 Ιουλίου 2026, 19:30</w:t>
      </w:r>
    </w:p>
    <w:p>
      <w:pPr/>
      <w:r>
        <w:rPr/>
        <w:t xml:space="preserve">Η δημιουργία της νέας εταιρείας «Hellenic Heritage» και η μεταφορά σε αυτήν του αντικειμένου των εργαστηρίων παραγωγής εκμαγείων, αντιγράφων και μοντέλων πολιτιστικών αγαθών δημιουργεί ένα σημαντικό κενό στο άρθρο 27, καθώς δεν υπάρχει καμία πρόβλεψη για τους αποφοίτους της μοναδικής δημόσιας ειδικότητας Σ.Α.Ε.Κ. «Αντιγραφέας Μνημείων και Εκθεμάτων».</w:t>
      </w:r>
    </w:p>
    <w:p/>
    <w:p/>
    <w:p>
      <w:pPr/>
      <w:r>
        <w:rPr/>
        <w:t xml:space="preserve">Η συγκεκριμένη ειδικότητα δημιουργήθηκε από την Πολιτεία το 2021 ακριβώς για την κάλυψη αυτών των αναγκών. Κατά την επίσημη παρουσίασή της στις 11 Αυγούστου 2021, η Υπουργός Πολιτισμού κα Λίνα Μενδώνη είχε αναφέρει ότι σκοπός της ήταν η εκπαίδευση εξειδικευμένων τεχνιτών για τα εργαστήρια του ΟΔΑΠ και η δυνατότητα αξιοποίησης των αποφοίτων από τον Οργανισμό.</w:t>
      </w:r>
    </w:p>
    <w:p/>
    <w:p/>
    <w:p>
      <w:pPr/>
      <w:r>
        <w:rPr/>
        <w:t xml:space="preserve">Οι απόφοιτοι ολοκληρώσαμε τη διετή φοίτηση, αποκτήσαμε Βεβαίωση Επαγγελματικής Κατάρτισης και αναμένουμε την πιστοποίησή μας από τον ΕΟΠΠΕΠ. Σήμερα, ενώ το ίδιο αντικείμενο συνεχίζεται και ενισχύεται μέσω της νέας εταιρείας, δεν υπάρχει καμία πρόβλεψη για το ανθρώπινο δυναμικό που εκπαιδεύτηκε ειδικά γι’ αυτό.</w:t>
      </w:r>
    </w:p>
    <w:p/>
    <w:p/>
    <w:p>
      <w:pPr/>
      <w:r>
        <w:rPr/>
        <w:t xml:space="preserve">Ζητούμε να προστεθεί στο άρθρο 27 μεταβατική πρόβλεψη για τη δυνατότητα αξιοποίησης των αποφοίτων της ειδικότητας στη στελέχωση των εργαστηρίων της «Hellenic Heritage», σύμφωνα με τις νόμιμες διαδικασίες.</w:t>
      </w:r>
    </w:p>
    <w:p/>
    <w:p/>
    <w:p>
      <w:pPr/>
      <w:r>
        <w:rPr/>
        <w:t xml:space="preserve">Δεν ζητούμε προνομιακή μεταχείριση, αλλά συνέπεια και συνέχεια σε μια δημόσια πολιτική που η ίδια η Πολιτεία σχεδίασε και υλοποίησε.</w:t>
      </w:r>
    </w:p>
    <w:p/>
    <w:p>
      <w:pPr/>
      <w:r>
        <w:rPr>
          <w:b w:val="1"/>
          <w:bCs w:val="1"/>
        </w:rPr>
        <w:t xml:space="preserve">Ευγενία Ντόγκα – 16 Ιουλίου 2026, 19:42</w:t>
      </w:r>
    </w:p>
    <w:p>
      <w:pPr/>
      <w:r>
        <w:rPr/>
        <w:t xml:space="preserve">Το σχόλιο αφορά το άρθρο 27.</w:t>
      </w:r>
    </w:p>
    <w:p/>
    <w:p>
      <w:pPr/>
      <w:r>
        <w:rPr/>
        <w:t xml:space="preserve">Το σχέδιο νόμου για τη σύσταση της «Hellenic Heritage A.E.» μεταφέρει στη νέα εταιρεία όλες τις δραστηριότητες των εργαστηρίων παραγωγής πιστών αντιγράφων, φυσικών και ψηφιακών μοντέλων. Παρά το γεγονός ότι το αντικείμενο αυτό αποτελεί συνέχεια του έργου του ΟΔΑΠ, δεν υπάρχει καμία αναφορά στους αποφοίτους της ειδικότητας «Αντιγραφέας Μνημείων και Εκθεμάτων», οι οποίοι εκπαιδεύτηκαν ακριβώς για τις ανάγκες των εργαστηρίων που μεταφέρονται.</w:t>
      </w:r>
    </w:p>
    <w:p/>
    <w:p>
      <w:pPr/>
      <w:r>
        <w:rPr/>
        <w:t xml:space="preserve">Οι απόφοιτοι έχουν ολοκληρώσει στοχευμένη εκπαίδευση σε τεχνικές αντιγραφής μνημείων, κατασκευή καλουπιών, εκμαγείων, χύτευση, καθώς και σε σύγχρονες ψηφιακές μεθόδους όπως τρισδιάστατη σάρωση, μοντελοποίηση και ψηφιακή αναπαράσταση αντικειμένων. Πρόκειται για δεξιότητες που αποτελούν βασικό μέρος της λειτουργίας των εργαστηρίων και έχουν αναπτυχθεί με δημόσιους πόρους και συγκεκριμένο σκοπό.</w:t>
      </w:r>
    </w:p>
    <w:p/>
    <w:p>
      <w:pPr/>
      <w:r>
        <w:rPr/>
        <w:t xml:space="preserve">Η ειδικότητα δημιουργήθηκε από τον ΟΔΑΠ με σαφή στόχο την ενίσχυση των εργαστηρίων παραγωγής αντιγράφων. Η απουσία οποιασδήποτε πρόβλεψης για τους αποφοίτους αφήνει ένα πραγματικό κενό στη μετάβαση προς το νέο φορέα και κινδυνεύει να οδηγήσει σε απώλεια εξειδικευμένης τεχνογνωσίας, τόσο παραδοσιακής όσο και ψηφιακής.</w:t>
      </w:r>
    </w:p>
    <w:p/>
    <w:p>
      <w:pPr/>
      <w:r>
        <w:rPr/>
        <w:t xml:space="preserve">Για τον λόγο αυτό, είναι αναγκαίο να προβλεφθεί ότι οι απόφοιτοι της ειδικότητας μπορούν να συμμετέχουν, με βάση τις νόμιμες διαδικασίες και τα κριτήρια αξιοκρατίας, στον σχεδιασμό στελέχωσης των εργαστηρίων της νέας εταιρείας. Η πρόβλεψη αυτή εξασφαλίζει τη συνέχεια του έργου, την αξιοποίηση της επένδυσης που έχει ήδη γίνει και τη διατήρηση της τεχνογνωσίας που αναπτύχθηκε για τις ανάγκες του ΟΔΑΠ.</w:t>
      </w:r>
    </w:p>
    <w:p/>
    <w:p>
      <w:pPr/>
      <w:r>
        <w:rPr>
          <w:b w:val="1"/>
          <w:bCs w:val="1"/>
        </w:rPr>
        <w:t xml:space="preserve">Γρηγορία Μαλκότζογλου – 16 Ιουλίου 2026, 21:43</w:t>
      </w:r>
    </w:p>
    <w:p>
      <w:pPr/>
      <w:r>
        <w:rPr/>
        <w:t xml:space="preserve">Αναγκαία μεταβατική πρόβλεψη για τους αποφοίτους της Σ.Α.Ε.Κ. «Αντιγραφέας Μνημείων και Εκθεμάτων»</w:t>
      </w:r>
    </w:p>
    <w:p/>
    <w:p>
      <w:pPr/>
      <w:r>
        <w:rPr/>
        <w:t xml:space="preserve">Το υπό διαβούλευση σχέδιο νόμου για τη σύσταση της «Hellenic Heritage Α.Ε.» προβλέπει τη μεταφορά στη νέα εταιρεία του συνόλου του αντικειμένου των εργαστηρίων παραγωγής μητρών, εκμαγείων, φυσικών και ψηφιακών μοντέλων και πιστοποιημένων αντιγράφων πολιτιστικών αγαθών. Ωστόσο, παρά το γεγονός ότι ρυθμίζονται αναλυτικά ζητήματα αρμοδιοτήτων, περιουσίας και συμβάσεων, δεν περιλαμβάνεται καμία απολύτως πρόβλεψη για τους αποφοίτους της ειδικότητας «Αντιγραφέας Μνημείων και Εκθεμάτων», της μοναδικής δημόσιας ειδικότητας που δημιουργήθηκε ειδικά για την κάλυψη των αναγκών των συγκεκριμένων εργαστηρίων.</w:t>
      </w:r>
    </w:p>
    <w:p/>
    <w:p/>
    <w:p>
      <w:pPr/>
      <w:r>
        <w:rPr/>
        <w:t xml:space="preserve">Η παράλειψη αυτή προκαλεί ιδιαίτερη εντύπωση, καθώς η συγκεκριμένη ειδικότητα δεν δημιουργήθηκε ανεξάρτητα από τον ΟΔΑΠ ούτε χωρίς τη συμμετοχή του. Αντιθέτως, ο ίδιος ο Οργανισμός συνέβαλε ουσιαστικά στην ίδρυσή της, την προέβαλε μέσω της επίσημης ιστοσελίδας του καλώντας ενδιαφερόμενους να φοιτήσουν σε αυτή και υποστήριξε έμπρακτα την υλοποίηση του εκπαιδευτικού προγράμματος.</w:t>
      </w:r>
    </w:p>
    <w:p/>
    <w:p/>
    <w:p>
      <w:pPr/>
      <w:r>
        <w:rPr/>
        <w:t xml:space="preserve">Το μεγαλύτερο μέρος της εκπαίδευσης πραγματοποιήθηκε στις εγκαταστάσεις του ΟΔΑΠ. Τα εργαστηριακά μαθήματα διεξήχθησαν στα εργαστήριά του, με τη χρήση του εξοπλισμού, των εργαλείων και των υλικών που ο ίδιος διέθεσε. Η ενεργός αυτή συμμετοχή αποδεικνύει ότι ο ΟΔΑΠ δεν υπήρξε απλός αποδέκτης των αποτελεσμάτων της εκπαίδευσης, αλλά βασικός συνδιαμορφωτής και υποστηρικτής της.</w:t>
      </w:r>
    </w:p>
    <w:p/>
    <w:p/>
    <w:p>
      <w:pPr/>
      <w:r>
        <w:rPr/>
        <w:t xml:space="preserve">Επιπλέον, κατά την επίσημη παρουσίαση της ειδικότητας στις 11 Αυγούστου 2021, το Υπουργείο Πολιτισμού ανακοίνωσε ότι σκοπός της ίδρυσής της ήταν η εκπαίδευση πιστοποιημένων τεχνιτών για τα εργαστήρια του ΟΔΑΠ, ώστε οι απόφοιτοι να μπορούν να αξιοποιηθούν από τον Οργανισμό. Ανταποκρινόμενοι σε αυτή τη δημόσια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
      <w:pPr/>
      <w:r>
        <w:rPr/>
        <w:t xml:space="preserve">Αξίζει επίσης να επισημανθεί ότι η πλειονότητα των σπουδαστών δεν ήταν νέοι χωρίς επαγγελματική εμπειρία. Ήταν ήδη επαγγελματίες συντηρητές έργων τέχνης, καλλιτέχνες και εξειδικευμένοι τεχνίτες με πολυετή παρουσία στον χώρο,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πιστοποιημένων αντιγράφων. Η συγκεκριμένη ειδικότητα, επομένως, δεν δημιουργήθηκε για να καλύψει μια γενική εκπαιδευτική ανάγκη, αλλά για να ενισχύσει με εξειδικευμένη κατάρτιση ένα αντικείμενο που ο ίδιος ο Οργανισμός υπηρετούσε διαχρονικά.</w:t>
      </w:r>
    </w:p>
    <w:p/>
    <w:p/>
    <w:p>
      <w:pPr/>
      <w:r>
        <w:rPr/>
        <w:t xml:space="preserve">Οι απόφοιτοι έχουν εκπαιδευτεί σε τεχνικές κατασκευής μητρών, καλουπιών και εκμαγείων, χύτευσης, παραγωγής πιστοποιημένων αντιγράφων, καθώς και σε σύγχρονες ψηφιακές εφαρμογές, όπως τρισδιάστατη σάρωση, τρισδιάστατη μοντελοποίηση και ψηφιακή αναπαράσταση πολιτιστικών αγαθών. Οι γνώσεις και οι δεξιότητες αυτές αντιστοιχούν άμεσα στο αντικείμενο που μεταφέρεται στη νέα εταιρεία.</w:t>
      </w:r>
    </w:p>
    <w:p/>
    <w:p/>
    <w:p>
      <w:pPr/>
      <w:r>
        <w:rPr/>
        <w:t xml:space="preserve">Υπό τα δεδομένα αυτά, η πλήρης απουσία οποιασδήποτε αναφοράς στη συγκεκριμένη ειδικότητα και στους αποφοίτους της από το υπό διαβούλευση σχέδιο νόμου δημιουργεί εύλογα ερωτήματα. Όταν ένας δημόσιος οργανισμός συμμετέχει ενεργά στη δημιουργία μιας ειδικότητας, προβάλλει δημόσια την ίδρυσή της, διαθέτει τις εγκαταστάσεις, τον εξοπλισμό και τα υλικά του για την εκπαίδευση των σπουδαστών και καλλιεργεί την εύλογη πεποίθηση ότι η εκπαίδευση αυτή εξυπηρετεί διαπιστωμένες λειτουργικές ανάγκες του, δεν είναι θεσμικά συνεπές να αγνοείται πλήρως η ύπαρξη της ειδικότητας κατά τον σχεδιασμό του διαδόχου φορέα που αναλαμβάνει ακριβώς το ίδιο αντικείμενο.</w:t>
      </w:r>
    </w:p>
    <w:p/>
    <w:p/>
    <w:p>
      <w:pPr/>
      <w:r>
        <w:rPr/>
        <w:t xml:space="preserve">Δεν ζητούμε προνομιακή μεταχείριση ούτε εξαίρεση από τις διαδικασίες προσλήψεων.</w:t>
      </w:r>
    </w:p>
    <w:p/>
    <w:p/>
    <w:p>
      <w:pPr/>
      <w:r>
        <w:rPr/>
        <w:t xml:space="preserve">Ζητούμε να υπάρξει θεσμική συνέπεια και διοικητική συνέχεια.</w:t>
      </w:r>
    </w:p>
    <w:p/>
    <w:p/>
    <w:p>
      <w:pPr/>
      <w:r>
        <w:rPr/>
        <w:t xml:space="preserve">Για τον λόγο αυτό προτείνεται να προστεθεί στο άρθρο 27 μεταβατική διάταξη, σύμφωνα με την οποία οι απόφοιτοι της ειδικότητας «Αντιγραφέας Μνημείων και Εκθεμάτων» θα μπορούν, υπό τις νόμιμες προϋποθέσεις και σύμφωνα με τις αρχές της αξιοκρατίας και της ισχύουσας νομοθεσίας, να συμμετέχουν στον σχεδιασμό στελέχωσης των εργαστηρίων της νέας εταιρείας.</w:t>
      </w:r>
    </w:p>
    <w:p/>
    <w:p/>
    <w:p>
      <w:pPr/>
      <w:r>
        <w:rPr/>
        <w:t xml:space="preserve">Μια τέτοια ρύθμιση δεν δημιουργεί προνόμιο ούτε παραβιάζει την αρχή της ισότητας. Αντιθέτως, αποτελεί τη φυσική συνέχεια μιας δημόσιας πολιτικής που η ίδια η Πολιτεία σχεδίασε, ανακοίνωσε και υλοποίησε, διασφαλίζοντας ότι η εξειδικευμένη τεχνογνωσία που αποκτήθηκε με δημόσιους πόρους δεν θα απαξιωθεί κατά τη μετάβαση στον νέο φορέα.</w:t>
      </w:r>
    </w:p>
    <w:p/>
    <w:p/>
    <w:p>
      <w:pPr/>
      <w:r>
        <w:rPr/>
        <w:t xml:space="preserve">Οι απόφοιτοι της ειδικότητας δικαιούνται, τουλάχιστον, μια σαφή, τεκμηριωμένη και επίσημη απάντηση για τους λόγους της πλήρους απουσίας οποιασδήποτε πρόβλεψης που να αφορά την αξιοποίηση της εκπαίδευσης που η ίδια η Πολιτεία επέλεξε να δημιουργήσει και να χρηματοδοτήσει.</w:t>
      </w:r>
    </w:p>
    <w:p/>
    <w:p>
      <w:pPr/>
      <w:r>
        <w:rPr>
          <w:b w:val="1"/>
          <w:bCs w:val="1"/>
        </w:rPr>
        <w:t xml:space="preserve">Ν******** Κ********* – 16 Ιουλίου 2026, 21:59</w:t>
      </w:r>
    </w:p>
    <w:p>
      <w:pPr/>
      <w:r>
        <w:rPr/>
        <w:t xml:space="preserve">Θέμα: Σχόλιο επί του Άρθρου 27 (Μεταβατικές Διατάξεις) – Αναγκαιότητα Θεσμοθέτησης Μεταβατικής Πρόβλεψης για τους Αποφοίτους της Σ.Α.Ε.Κ. «Αντιγραφέας Μνημείων και Εκθεμάτων»Το υπό εξέταση νομοσχέδιο προβλέπει τη σύσταση του νέου φορέα «Οργανισμός Ανάπτυξης και Διαχείρισης Ελληνικής Πολιτιστικής Κληρονομιάς Α.Ε. (Hellenic Heritage)», ο οποίος αναλαμβάνει εφεξής τη λειτουργία των εργαστηρίων παραγωγής καλουπιών, εκμαγείων, καθώς και των εν γένει φυσικών και ψηφιακών πιστοποιημένων αντιγράφων της πολιτιστικής μας κληρονομιάς. Παρά το γεγονός ότι το νομοθέτημα μεριμνά εκτενώς για τη μεταβίβαση των σχετικών αρμοδιοτήτων, των υφιστάμενων συμβάσεων και των περιουσιακών στοιχείων, διαπιστώνεται θεσμικό κενό όσον αφορά τους αποφοίτους της συγκεκριμένης δημόσιας ειδικότητας. Πρόκειται για το μοναδικό εξειδικευμένο εκπαιδευτικό πρόγραμμα που συγκροτήθηκε με αποκλειστικό σκοπό τη στελέχωση των εν λόγω δραστηριοτήτων. Υπενθυμίζεται ότι κατά την επίσημη παρουσίαση της ειδικότητας, τον Αύγουστο του 2021, η ηγεσία του Υπουργείου Πολιτισμού είχε ρητά επισημάνει πως η ίδρυση της Σ.Α.Ε.Κ. «Αντιγραφέας Μνημείων και Εκθεμάτων» αποσκοπούσε στην κατάρτιση πιστοποιημένου δυναμικού για τις ανάγκες των εργαστηρίων του ΟΔΑΠ, με σαφή προοπτική επαγγελματικής απορρόφησης από τον Οργανισμό. Ανταποκρινόμενοι στον σχεδιασμό της Πολιτείας, οι σπουδαστές ολοκλήρωσαν επιτυχώς τον προβλεπόμενο διετή κύκλο σπουδών, κατέχουν ήδη τη Βεβαίωση Επαγγελματικής Κατάρτισης και τελούν υπό διαδικασία πιστοποίησης από τον ΕΟΠΠΕΠ. Είναι κρίσιμο να υπογραμμιστεί ότι το ανθρώπινο δυναμικό της σχολής δεν αποτελείται από νεοεισερχόμενους στην αγορά εργασίας, αλλά από ήδη καταξιωμένους συντηρητές αρχαιοτήτων, μαρμαρογλύπτες, γλύπτες, ζωγράφους και έμπειρους τεχνίτες. Πρόκειται, δηλαδή, για επαγγελματίες με συναφή υπόβαθρα, όμοια με εκείνα που επί σειρά δεκαετιών στελέχωναν τα εργαστήρια παραγωγής εκμαγείων των προγενέστερων μορφών του Οργανισμού (ΤΑΠ, ΤΑΠΑ, ΟΔΑΠ). Εντούτοις, διαπιστώνεται παντελής έλλειψη πρόνοιας για το στελεχικό δυναμικό που καταρτίστηκε στοχευμένα για την εξυπηρέτηση του εν λόγω σκοπού. Ως εκ τούτου, κρίνεται αναγκαία η συμπλήρωση του άρθρου 27 με τη θεσμοθέτηση μεταβατικής διάταξης. Η ρύθμιση αυτή οφείλει να προβλέπει τη δυνατότητα αξιοποίησης ή τη μοριοδότηση/συμμετοχή των αποφοίτων της ειδικότητας «Αντιγραφέας Μνημείων και Εκθεμάτων» στον σχεδιασμό στελέχωσης των εργαστηρίων του νέου φορέα, πάντοτε υπό το πρίσμα των αρχών της αξιοκρατίας, της διαφάνειας και της κείμενης νομοθεσίας. Το κράτος προχώρησε στην ίδρυση της συγκεκριμένης ειδικότητας, διέθεσε δημόσιους πόρους για την υλοποίηση της εκπαίδευσής μας και προσδιόρισε δημοσίως τον στρατηγικό της στόχο. Η παράλειψη οποιασδήποτε μεταβατικής πρόβλεψης συνιστά ουσιαστικό θεσμικό έλλειμμα, το οποίο παρίσταται ανάγκη να αποκατασταθεί προ της τελικής ψήφισης του νομοθετήματος. Η αιτούμενη μεταβατική ρύθμιση δεν συνιστά προνομιακή μεταχείριση ή παρέκκλιση από τους κανόνες του υγιούς ανταγωνισμού. Αποτελεί την ορθολογική και αυτονόητη συνέχεια μιας δημόσιας πολιτικής, την οποία η ίδια η Πολιτεία σχεδίασε, εξήγγειλε και έθεσε σε εφαρμογή.</w:t>
      </w:r>
    </w:p>
    <w:p/>
    <w:p>
      <w:pPr/>
      <w:r>
        <w:rPr>
          <w:b w:val="1"/>
          <w:bCs w:val="1"/>
        </w:rPr>
        <w:t xml:space="preserve">ΑΙΚΑΤΕΡΙΝΗ ΜΗΤΡΟΠΟΥΛΟΥ – 16 Ιουλίου 2026, 22:29</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w:t>
      </w:r>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να επισημανθεί ότι η πλειονότητα των σπουδαστών δεν ήταν νέοι χωρίς επαγγελματική εμπειρία, αλλά ήδη ενεργοί συντηρητές έργων τέχνης, καλλιτέχνες και εξειδικευμένοι τεχνίτες,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w:t>
      </w:r>
    </w:p>
    <w:p/>
    <w:p>
      <w:pPr/>
      <w:r>
        <w:rPr/>
        <w:t xml:space="preserve">Δεν ζητούμε διορισμό ούτε εξαίρεση από τις διαδικασίες προσλήψεων.</w:t>
      </w:r>
    </w:p>
    <w:p/>
    <w:p>
      <w:pPr/>
      <w:r>
        <w:rPr/>
        <w:t xml:space="preserve">Ζητούμε να υπάρξει θεσμική συνέπεια.</w:t>
      </w:r>
    </w:p>
    <w:p/>
    <w:p>
      <w:pPr/>
      <w:r>
        <w:rPr/>
        <w:t xml:space="preserve">Ζητούμε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εκπαίδευσή μας και δήλωσε δημόσια τον σκοπό της. Η απουσία οποιασδήποτε μεταβατικής πρόβλεψης δημιουργεί ένα πραγματικό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Δέσποινα Αντωναράκη – 17 Ιουλίου 2026, 09:08</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w:t>
      </w:r>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να επισημανθεί ότι η πλειονότητα των σπουδαστών δεν ήταν νέοι χωρίς επαγγελματική εμπειρία, αλλά ήδη ενεργοί συντηρητές έργων τέχνης, καλλιτέχνες και εξειδικευμένοι τεχνίτες,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w:t>
      </w:r>
    </w:p>
    <w:p/>
    <w:p>
      <w:pPr/>
      <w:r>
        <w:rPr/>
        <w:t xml:space="preserve">Δεν ζητούμε διορισμό ούτε εξαίρεση από τις διαδικασίες προσλήψεων.</w:t>
      </w:r>
    </w:p>
    <w:p/>
    <w:p>
      <w:pPr/>
      <w:r>
        <w:rPr/>
        <w:t xml:space="preserve">Ζητούμε να υπάρξει θεσμική συνέπεια.</w:t>
      </w:r>
    </w:p>
    <w:p/>
    <w:p>
      <w:pPr/>
      <w:r>
        <w:rPr/>
        <w:t xml:space="preserve">Ζητούμε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εκπαίδευσή μας και δήλωσε δημόσια τον σκοπό της. Η απουσία οποιασδήποτε μεταβατικής πρόβλεψης δημιουργεί ένα πραγματικό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Γυπαράκη Αιμηλία Μαρία – 17 Ιουλίου 2026, 09:09</w:t>
      </w:r>
    </w:p>
    <w:p>
      <w:pPr/>
      <w:r>
        <w:rPr/>
        <w:t xml:space="preserve">Σχόλιο επί του άρθρου 27 – Μεταβατικές Διατάξεις</w:t>
      </w:r>
    </w:p>
    <w:p/>
    <w:p/>
    <w:p>
      <w:pPr/>
      <w:r>
        <w:rPr/>
        <w:t xml:space="preserve">Στο νέο νομοσχέδιο προβλέπεται η μεταφορά των εργαστηρίων παραγωγής εκμαγείων, αντιγράφων και ψηφιακών μοντέλων πολιτιστικών αγαθών στη νέα εταιρεία «Hellenic Heritage», χωρίς όμως να υπάρχει καμία αναφορά στους αποφοίτους της μοναδικής δημόσιας ειδικότητας Σ.Α.Ε.Κ. «Αντιγραφέας Μνημείων και Εκθεμάτων», η οποία δημιουργήθηκε ακριβώς για την κάλυψη αυτών των αναγκών.</w:t>
      </w:r>
    </w:p>
    <w:p/>
    <w:p/>
    <w:p>
      <w:pPr/>
      <w:r>
        <w:rPr/>
        <w:t xml:space="preserve">Η Πολιτεία ίδρυσε τη συγκεκριμένη ειδικότητα, επένδυσε στην εκπαίδευσή μας και είχε δηλώσει ότι οι απόφοιτοι θα μπορούσαν να αξιοποιηθούν στα εργαστήρια του ΟΔΑΠ. Σήμερα το ίδιο αντικείμενο συνεχίζεται μέσα από τη νέα εταιρεία, χωρίς όμως καμία πρόβλεψη για τους ανθρώπους που εκπαιδεύτηκαν ειδικά γι’ αυτό.</w:t>
      </w:r>
    </w:p>
    <w:p/>
    <w:p/>
    <w:p>
      <w:pPr/>
      <w:r>
        <w:rPr/>
        <w:t xml:space="preserve">Ζητούμε να προστεθεί στο άρθρο 27 μεταβατική διάταξη που να προβλέπει τη δυνατότητα αξιοποίησης των πιστοποιημένων αποφοίτων της ειδικότητας στον σχεδιασμό στελέχωσης των εργαστηρίων της νέας εταιρείας, με αξιοκρατικά και νόμιμα κριτήρια.</w:t>
      </w:r>
    </w:p>
    <w:p/>
    <w:p/>
    <w:p>
      <w:pPr/>
      <w:r>
        <w:rPr/>
        <w:t xml:space="preserve">Δεν ζητούμε διορισμό ή προνομιακή μεταχείριση. Ζητούμε συνέπεια στη δημόσια πολιτική που η ίδια η Πολιτεία δημιούργησε και υλοποίησε.</w:t>
      </w:r>
    </w:p>
    <w:p/>
    <w:p>
      <w:pPr/>
      <w:r>
        <w:rPr>
          <w:b w:val="1"/>
          <w:bCs w:val="1"/>
        </w:rPr>
        <w:t xml:space="preserve">Γκαλέα Σκουλά Αναστασία – 17 Ιουλίου 2026, 11:26</w:t>
      </w:r>
    </w:p>
    <w:p>
      <w:pPr/>
      <w:r>
        <w:rPr/>
        <w:t xml:space="preserve">Το σχέδιο νόμου για τη «Hellenic Heritage A.E.» μεταφέρει στη νέα εταιρεία όλη την παραγωγή αντιγράφων και εκμαγείων, όμως παραλείπει εντελώς τους αποφοίτους της ειδικότητας «Αντιγραφέας Μνημείων και Εκθεμάτων».</w:t>
      </w:r>
    </w:p>
    <w:p/>
    <w:p>
      <w:pPr/>
      <w:r>
        <w:rPr/>
        <w:t xml:space="preserve">Η ειδικότητα αυτή ιδρύθηκε από τον ΟΔΑΠ με επίσημη δέσμευση του Υπουργείου Πολιτισμού, ακριβώς για να στελεχώσει αυτά τα εργαστήρια. Οι απόφοιτοι έχουν λάβει εξειδικευμένη εκπαίδευση τόσο σε παραδοσιακές τεχνικές (καλούπια, χύτευση) όσο και σε σύγχρονες ψηφιακές μεθόδους (3D scanning και modeling).</w:t>
      </w:r>
    </w:p>
    <w:p/>
    <w:p>
      <w:pPr/>
      <w:r>
        <w:rPr/>
        <w:t xml:space="preserve">Η απουσία πρόβλεψης για την αξιοποίησή τους δημιουργεί θεσμικό κενό, αντιβαίνει στην αρχή της χρηστής διοίκησης και απαξιώνει μια δημόσια επένδυση σε ανθρώπινο δυναμικό.</w:t>
      </w:r>
    </w:p>
    <w:p/>
    <w:p>
      <w:pPr/>
      <w:r>
        <w:rPr/>
        <w:t xml:space="preserve">Να υπάρξει ρητή πρόβλεψη ώστε οι πιστοποιημένοι απόφοιτοι της ειδικότητας να μπορούν να συμμετέχουν αξιοκρατικά στη στελέχωση των εργαστηρίων της νέας εταιρείας. Δεν πρόκειται για προνομιακή μεταχείριση, αλλά για την αυτονόητη συνέχεια μιας δημόσιας πολιτικής, ώστε να μη χαθεί η πολύτιμη τεχνογνωσία τους κατά τη μετάβαση στον νέο φορέα.</w:t>
      </w:r>
    </w:p>
    <w:p/>
    <w:p>
      <w:pPr/>
      <w:r>
        <w:rPr>
          <w:b w:val="1"/>
          <w:bCs w:val="1"/>
        </w:rPr>
        <w:t xml:space="preserve">ΑΝΑΣΤΑΣΙΑ ΑΓΑΘΟΥ – 17 Ιουλίου 2026, 11:58</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w:t>
      </w:r>
    </w:p>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να επισημανθεί ότι η πλειονότητα των σπουδαστών δεν ήταν νέοι χωρίς επαγγελματική εμπειρία, αλλά ήδη ενεργοί συντηρητές έργων τέχνης, καλλιτέχνες και εξειδικευμένοι τεχνίτες,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w:t>
      </w:r>
    </w:p>
    <w:p/>
    <w:p>
      <w:pPr/>
      <w:r>
        <w:rPr/>
        <w:t xml:space="preserve">Δεν ζητούμε διορισμό ούτε εξαίρεση από τις διαδικασίες προσλήψεων.</w:t>
      </w:r>
    </w:p>
    <w:p/>
    <w:p>
      <w:pPr/>
      <w:r>
        <w:rPr/>
        <w:t xml:space="preserve">Ζητούμε να υπάρξει θεσμική συνέπεια.</w:t>
      </w:r>
    </w:p>
    <w:p/>
    <w:p>
      <w:pPr/>
      <w:r>
        <w:rPr/>
        <w:t xml:space="preserve">Ζητούμε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εκπαίδευσή μας και δήλωσε δημόσια τον σκοπό της. Η απουσία οποιασδήποτε μεταβατικής πρόβλεψης δημιουργεί ένα πραγματικό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Χ**** Δ********** – 18 Ιουλίου 2026, 09:01</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Ωστόσο,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w:t>
      </w:r>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αποκτήσαμε Βεβαίωση Επαγγελματικής Κατάρτισης και αναμένουμε την πιστοποίησή μας από τον ΕΟΠΠΕΠ.</w:t>
      </w:r>
    </w:p>
    <w:p/>
    <w:p>
      <w:pPr/>
      <w:r>
        <w:rPr/>
        <w:t xml:space="preserve">Αξίζει να επισημανθεί ότι η πλειονότητα των σπουδαστών δεν ήταν νέοι χωρίς επαγγελματική εμπειρία, αλλά ήδη ενεργοί συντηρητές έργων τέχνης, καλλιτέχνες και εξειδικευμένοι τεχνίτες, δηλαδή επαγγελματίες των ίδιων ειδικοτήτων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w:t>
      </w:r>
    </w:p>
    <w:p/>
    <w:p>
      <w:pPr/>
      <w:r>
        <w:rPr/>
        <w:t xml:space="preserve">Δεν ζητούμε διορισμό ούτε εξαίρεση από τις διαδικασίες προσλήψεων.</w:t>
      </w:r>
    </w:p>
    <w:p/>
    <w:p>
      <w:pPr/>
      <w:r>
        <w:rPr/>
        <w:t xml:space="preserve">Ζητούμε να υπάρξει θεσμική συνέπεια.</w:t>
      </w:r>
    </w:p>
    <w:p/>
    <w:p>
      <w:pPr/>
      <w:r>
        <w:rPr/>
        <w:t xml:space="preserve">Ζητούμε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εκπαίδευσή μας και δήλωσε δημόσια τον σκοπό της. Η απουσία οποιασδήποτε μεταβατικής πρόβλεψης δημιουργεί ένα πραγματικό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Α****** Τ***** – 18 Ιουλίου 2026, 11:00</w:t>
      </w:r>
    </w:p>
    <w:p>
      <w:pPr/>
      <w:r>
        <w:rPr/>
        <w:t xml:space="preserve">Η δημιουργία της νέας εταιρείας «Hellenic Heritage» και η μεταφορά σε αυτήν του αντικειμένου των εργαστηρίων παραγωγής εκμαγείων, αντιγράφων και μοντέλων πολιτιστικών αγαθών δημιουργεί ένα σημαντικό κενό στο άρθρο 27, καθώς δεν υπάρχει καμία πρόβλεψη για τους αποφοίτους της μοναδικής δημόσιας ειδικότητας Σ.Α.Ε.Κ. «Αντιγραφέας Μνημείων και Εκθεμάτων».</w:t>
      </w:r>
    </w:p>
    <w:p/>
    <w:p/>
    <w:p>
      <w:pPr/>
      <w:r>
        <w:rPr/>
        <w:t xml:space="preserve">Η συγκεκριμένη ειδικότητα δημιουργήθηκε από την Πολιτεία το 2021 ακριβώς για την κάλυψη αυτών των αναγκών. Κατά την επίσημη παρουσίασή της στις 11 Αυγούστου 2021, η Υπουργός Πολιτισμού κα Λίνα Μενδώνη είχε αναφέρει ότι σκοπός της ήταν η εκπαίδευση εξειδικευμένων τεχνιτών για τα εργαστήρια του ΟΔΑΠ και η δυνατότητα αξιοποίησης των αποφοίτων από τον Οργανισμό.</w:t>
      </w:r>
    </w:p>
    <w:p/>
    <w:p/>
    <w:p>
      <w:pPr/>
      <w:r>
        <w:rPr/>
        <w:t xml:space="preserve">Οι απόφοιτοι ολοκληρώσαμε τη διετή φοίτηση, αποκτήσαμε Βεβαίωση Επαγγελματικής Κατάρτισης και αναμένουμε την πιστοποίησή μας από τον ΕΟΠΠΕΠ. Σήμερα, ενώ το ίδιο αντικείμενο συνεχίζεται και ενισχύεται μέσω της νέας εταιρείας, δεν υπάρχει καμία πρόβλεψη για το ανθρώπινο δυναμικό που εκπαιδεύτηκε ειδικά γι’ αυτό.</w:t>
      </w:r>
    </w:p>
    <w:p/>
    <w:p/>
    <w:p>
      <w:pPr/>
      <w:r>
        <w:rPr/>
        <w:t xml:space="preserve">Ζητούμε να προστεθεί στο άρθρο 27 μεταβατική πρόβλεψη για τη δυνατότητα αξιοποίησης των αποφοίτων της ειδικότητας στη στελέχωση των εργαστηρίων της «Hellenic Heritage», σύμφωνα με τις νόμιμες διαδικασίες.</w:t>
      </w:r>
    </w:p>
    <w:p/>
    <w:p/>
    <w:p>
      <w:pPr/>
      <w:r>
        <w:rPr/>
        <w:t xml:space="preserve">Δεν ζητούμε προνομιακή μεταχείριση, αλλά συνέπεια και συνέχεια σε μια δημόσια πολιτική που η ίδια η Πολιτεία σχεδίασε και υλοποίησε.</w:t>
      </w:r>
    </w:p>
    <w:p/>
    <w:p>
      <w:pPr/>
      <w:r>
        <w:rPr>
          <w:b w:val="1"/>
          <w:bCs w:val="1"/>
        </w:rPr>
        <w:t xml:space="preserve">Πανελλήνια Ομοσπονδία Θεάματος Ακροάματος – 18 Ιουλίου 2026, 19:44</w:t>
      </w:r>
    </w:p>
    <w:p>
      <w:pPr/>
      <w:r>
        <w:rPr/>
        <w:t xml:space="preserve">Πανελλήνια Ομοσπονδία Θεάματος- Ακροάματος.</w:t>
      </w:r>
    </w:p>
    <w:p/>
    <w:p>
      <w:pPr/>
      <w:r>
        <w:rPr/>
        <w:t xml:space="preserve">Κυρία Υπουργέ,</w:t>
      </w:r>
    </w:p>
    <w:p/>
    <w:p>
      <w:pPr/>
      <w:r>
        <w:rPr/>
        <w:t xml:space="preserve">Η Ομοσπονδία μας εκπροσωπώντας το σύνολο των καλλιτεχνών και εργαζομένων στο Θέαμα και Ακρόαμα, παρεμβαίνουμε στη δημόσια διαβούλευση εκφράζοντας την έντονη ανησυχία μας και τους προβληματισμούς μας  σχετικά με το παρόν αναρτηθέν στην δημόσια διαβούλευση σχεδίου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Πόρων(Ο.Δ.Α.Π.)-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
      <w:pPr/>
      <w:r>
        <w:rPr/>
        <w:t xml:space="preserve">Η αναφορά μας αφορά τα άρθρα 74 έως 104 του Μέρους Δ΄ και τα άρθρα 117,120,122 του Μέρους Ε΄.</w:t>
      </w:r>
    </w:p>
    <w:p/>
    <w:p>
      <w:pPr/>
      <w:r>
        <w:rPr/>
        <w:t xml:space="preserve">Συγκεκριμένα: </w:t>
      </w:r>
    </w:p>
    <w:p/>
    <w:p>
      <w:pPr/>
      <w:r>
        <w:rPr/>
        <w:t xml:space="preserve">1)	ΕΠΙ ΤΟΥ ΜΕΡΟΥΣ Δ΄ «ΡΥΘΜΙΣΕΙΣ ΓΙΑ ΤΗΝ ΕΦΑΡΜΟΓΗ ΤΟΥ ΕΘΝΙΚΟΥ ΣΧΕΔΙΟΥ ΔΡΑΣΗΣ ΓΙΑ ΤΗΝ ΑΝΑΠΤΥΞΗ ΤΟΥ ΟΠΤΙΚΟΑΚΟΥΣΤΙΚΟΥ ΔΗΜΙΟΥΡΓΙΚΟΥ ΤΟΜΕΑ (ΑΡΘΡΑ 74-104)»</w:t>
      </w:r>
    </w:p>
    <w:p/>
    <w:p>
      <w:pPr/>
      <w:r>
        <w:rPr/>
        <w:t xml:space="preserve">Όπως είχαμε επισημάνει και κατά την ψήφιση του Νόμου 5105/2024, το ΕΚΚΟΜΕΔ αποτελεί μια διεθνή ιδιαιτερότητα που δεν ανταποκρίνεται στις καθιερωμένες πρακτικές. Στις περισσότερες χώρες λειτουργεί ένα ανεξάρτητο Κέντρο Κινηματογράφου, το οποίο στηρίζει την κινηματογραφική δημιουργία με καλλιτεχνικά και πολιτιστικά κριτήρια, τα οποία δεν μπορούν να αποτιμηθούν αποκλειστικά με οικονομικούς ή ποσοτικούς δείκτες. Παράλληλα, λειτουργεί ένας διακριτός οργανισμός, αρμόδιος για τα υπόλοιπα ζητήματα του οπτικοακουστικού τομέα, όπως η προσέλκυση διεθνών παραγωγών, τα κίνητρα (cash rebate), οι τηλεοπτικοί σταθμοί, οι ψηφιακές πλατφόρμες και η ευρύτερη ανάπτυξη της οπτικοακουστικής βιομηχανίας.</w:t>
      </w:r>
    </w:p>
    <w:p/>
    <w:p>
      <w:pPr/>
      <w:r>
        <w:rPr/>
        <w:t xml:space="preserve">Το παρόν Σχέδιο Νόμου καταρτίστηκε, για ακόμη μία φορά, χωρίς ουσιαστική διαβούλευση με τους συλλογικούς φορείς των καλλιτεχνών και των εργαζομένων στον χώρο της τέχνης και του πολιτισμού. Πρόκειται για φορείς που διαθέτουν αποδεδειγμένα πολυετή εμπειρία, καθώς και σημαντική γνώση των σύγχρονων εξελίξεων τόσο σε εθνικό όσο και σε ευρωπαϊκό επίπεδο, γεγονός που θα μπορούσε να συμβάλει ουσιαστικά στη διαμόρφωση ενός αποτελεσματικού και σύγχρονου θεσμικού πλαισίου.</w:t>
      </w:r>
    </w:p>
    <w:p/>
    <w:p>
      <w:pPr/>
      <w:r>
        <w:rPr/>
        <w:t xml:space="preserve">Από την πρώτη στιγμή διαπιστώνουμε ότι το παρόν Σχέδιο Νόμου όχι μόνο διατηρεί αλλά και ενισχύει τη λογική της εμπορευματοποίησης της κινηματογραφικής τέχνης και της οπτικοακουστικής παραγωγής. Αντιμετωπίζει το κινηματογραφικό έργο πρωτίστως ως επιχειρηματική επένδυση και οικονομικό προϊόν, αντί να αναγνωρίζει τον χαρακτήρα του ως καλλιτεχνική δημιουργία με ουσιαστική κοινωνική, πολιτιστική και εκπαιδευτική αξία. Την ίδια στιγμή, παραλείπει να θεσπίσει ουσιαστικά κίνητρα για την ανάδειξη και στήριξη νέων δημιουργών.</w:t>
      </w:r>
    </w:p>
    <w:p/>
    <w:p>
      <w:pPr/>
      <w:r>
        <w:rPr/>
        <w:t xml:space="preserve">Είναι χαρακτηριστικό ότι δεν προβλέπονται νέοι ή εναλλακτικοί μηχανισμοί χρηματοδότησης της κινηματογραφικής δημιουργίας, ούτε λαμβάνονται πρωτοβουλίες για την ενίσχυση του σεναρίου, που αποτελεί το θεμέλιο κάθε κινηματογραφικού έργου. Απουσιάζουν επίσης μέτρα για την ανάδειξη νέων δημιουργικών ταλέντων, τη στήριξη των ανεξάρτητων δημιουργών και την ενδυνάμωση της καλλιτεχνικής παραγωγής πέρα από τα στενά οικονομικά κριτήρια.</w:t>
      </w:r>
    </w:p>
    <w:p/>
    <w:p>
      <w:pPr/>
      <w:r>
        <w:rPr/>
        <w:t xml:space="preserve">Για ακόμη μία φορά, η οπτικοακουστική παραγωγή προσεγγίζεται κυρίως ως εργαλείο οικονομικής ανάπτυξης και προσέλκυσης επενδύσεων, με αποτέλεσμα να υποβαθμίζεται η ιδιότητά της ως έργου τέχνης και να παραγνωρίζεται ο καθοριστικός κοινωνικός και πολιτιστικός της ρόλος. Έτσι, η πολιτική για τον κινηματογράφο περιορίζεται σε μια αναπτυξιακή λογική, χωρίς να αντιμετωπίζει τον πολιτισμό ως δημόσιο αγαθό που χρήζει ουσιαστικής προστασίας και ενίσχυσης.</w:t>
      </w:r>
    </w:p>
    <w:p/>
    <w:p>
      <w:pPr/>
      <w:r>
        <w:rPr/>
        <w:t xml:space="preserve">Με το Σχέδιο Νόμου υποβαθμίζεται η ελληνική κινηματογραφική τέχνη, καθώς αντιμετωπίζεται απλώς ως «κινηματογραφική παραγωγή» και όχι ως ξεχωριστή μορφή καλλιτεχνικής δημιουργίας. Παράλληλα, η αναφορά στη στήριξη της οπτικοακουστικής παραγωγής σημαίνει ότι ο νέος φορέας θα συνεχίσει να χρηματοδοτεί, εκτός από τον κινηματογράφο, και τηλεοπτικές σειρές ή άλλες παραγωγές των ιδιωτικών καναλιών, ακολουθώντας την ίδια πολιτική που εφαρμόζεται μέχρι σήμερα.</w:t>
      </w:r>
    </w:p>
    <w:p/>
    <w:p>
      <w:pPr/>
      <w:r>
        <w:rPr/>
        <w:t xml:space="preserve">Αυτή η επιλογή δεν είναι ουδέτερη. Εξισώνει την κινηματογραφική τέχνη με την τηλεοπτική παραγωγή και περιορίζει τους διαθέσιμους πόρους για την ενίσχυση μιας ανεξάρτητης ελληνικής κινηματογραφίας, που έχει ανάγκη από σταθερή και ουσιαστική δημόσια στήριξη ως μορφή τέχνης και πολιτιστικού αγαθού.</w:t>
      </w:r>
    </w:p>
    <w:p/>
    <w:p>
      <w:pPr/>
      <w:r>
        <w:rPr/>
        <w:t xml:space="preserve">Την ίδια στιγμή, το Σχέδιο Νόμου δεν αντιμετωπίζει το χρόνιο πρόβλημα της μη εφαρμογής της υποχρέωσης των ιδιωτικών τηλεοπτικών σταθμών να διαθέτουν το 1,5% των ετήσιων εσόδων τους για την παραγωγή ελληνικών κινηματογραφικών ταινιών, όπως προβλέπει η νομοθεσία. Αντί να διασφαλίζεται η εφαρμογή αυτής της υποχρέωσης, οι ιδιωτικοί τηλεοπτικοί σταθμοί συνεχίζουν να λαμβάνουν σημαντική κρατική χρηματοδότηση για τηλεοπτικές παραγωγές, ακόμη και για ψυχαγωγικές εκπομπές όπως Τηλεοπτικά Ριάλιτι και τηλεπαιχνίδια. Στην πράξη, δηλαδή, οι πολίτες καλούνται να χρηματοδοτούν τα προγράμματα των ιδιωτικών καναλιών, ενώ οι υποχρεώσεις των ίδιων των καναλιών απέναντι στον ελληνικό κινηματογράφο παραμένουν ανεκπλήρωτες.</w:t>
      </w:r>
    </w:p>
    <w:p/>
    <w:p>
      <w:pPr/>
      <w:r>
        <w:rPr/>
        <w:t xml:space="preserve">Σήμερα ο ελληνικός κινηματογράφος χρειάζεται ένα πραγματικά σύγχρονο νομοθετικό πλαίσιο. Ένα πλαίσιο που να είναι ευέλικτο, δημοκρατικό και αποτελεσματικό, να λειτουργεί με διαφάνεια και να εξασφαλίζει ότι οι δημόσιοι πόροι κατανέμονται δίκαια, χωρίς αποκλεισμούς, στηρίζοντας κάθε μορφή κινηματογραφικής δημιουργίας. Αντί γι' αυτό, το Σχέδιο Νόμου συγκεντρώνει υπερβολικές αρμοδιότητες σε λίγα πρόσωπα, και ιδιαίτερα στον Διευθύνοντα Σύμβουλο. Αυτή η υπερσυγκέντρωση εξουσίας περιορίζει τη διαφάνεια, αποδυναμώνει τον έλεγχο και δημιουργεί σοβαρά ερωτήματα για την ελευθερία της καλλιτεχνικής έκφρασης.</w:t>
      </w:r>
    </w:p>
    <w:p/>
    <w:p>
      <w:pPr/>
      <w:r>
        <w:rPr/>
        <w:t xml:space="preserve">Γίνεται επίσης σαφές ότι βασικός στόχος του νομοσχεδίου είναι η προσέλκυση ξένων οπτικοακουστικών παραγωγών, για τις οποίες προβλέπεται η διάθεση δεκάδων εκατομμυρίων ευρώ μέσω των κρατικών κινήτρων. Την ίδια ώρα, όμως, η ελληνική κινηματογραφική δημιουργία εξακολουθεί να υποχρηματοδοτείται και να μην αποτελεί προτεραιότητα της πολιτείας, όπως συμβαίνει εδώ και πολλά χρόνια.</w:t>
      </w:r>
    </w:p>
    <w:p/>
    <w:p>
      <w:pPr/>
      <w:r>
        <w:rPr/>
        <w:t xml:space="preserve">Ιδιαίτερα προβληματικές είναι και οι διατάξεις για το πρόγραμμα cash rebate. Δεν προβλέπεται καμία υποχρέωση των διεθνών παραγωγών που λαμβάνουν δημόσια χρηματοδότηση να συνεργάζονται με Έλληνες επαγγελματίες του κινηματογράφου ή να ενισχύουν ουσιαστικά την εγχώρια παραγωγή και τεχνογνωσία.</w:t>
      </w:r>
    </w:p>
    <w:p/>
    <w:p>
      <w:pPr/>
      <w:r>
        <w:rPr/>
        <w:t xml:space="preserve">Παράλληλα, πρέπει να προβλεφθεί ρητά ότι η κρατική χρηματοδότηση μπορεί να ανακαλείται όταν μια παραγωγή παραβιάζει την εργατική νομοθεσία ή τις συλλογικές συμβάσεις εργασίας. Η δημόσια χρηματοδότηση δεν μπορεί να στηρίζει επιχειρήσεις που παραβιάζουν τα δικαιώματα των εργαζομένων. Η αρχή πρέπει να είναι ξεκάθαρη: καμία δημόσια ενίσχυση χωρίς σεβασμό στην εργατική νομοθεσία και στις συλλογικές συμβάσεις εργασίας, σε πλήρη εναρμόνιση με τις ευρωπαϊκές κατευθύνσεις για την ενίσχυση των συλλογικών διαπραγματεύσεων, κατ εφαρμογή της ευρωπαϊκής οδηγίας που ορίζει ότι ο στόχος το επόμενο διάστημα είναι το 80% των εργαζομένων να αμείβονται με συλλογικές συμβάσεις εργασίας, καθώς επίσης και της εκστρατείας δημοσίων συμβάσεων του uni europa με τον ευρωπαίο επίτροπο για την εργασία, καμία δημόσια σύμβαση χωρίς συλλογική σύμβαση εργασίας. Εδώ να υπενθυμίσουμε ότι παλιότερα υπήρχε και η βεβαίωση καλών εργασιακών πρακτικών από την επιθεώρηση εργασίας μαζί με την υποβολή της πρότασης.</w:t>
      </w:r>
    </w:p>
    <w:p/>
    <w:p>
      <w:pPr/>
      <w:r>
        <w:rPr/>
        <w:t xml:space="preserve">Το ζήτημα αυτό είναι ιδιαίτερα σημαντικό, γιατί στον χώρο των γυρισμάτων καταγράφονται συχνά εξαντλητικά ωράρια που φτάνουν ακόμη και τις 14, 15 ή 17 ώρες εργασίας, απλήρωτες υπερωρίες, εργασία στο ρεπό. Παρότι έχουν γίνει επανειλημμένες καταγγελίες, οι έλεγχοι είναι ελάχιστοι. Για τον λόγο αυτό χρειάζεται να θεσπιστεί ένας ουσιαστικός μηχανισμός ελέγχου της τήρησης της εργατικής νομοθεσίας, καθώς και των κανόνων υγείας και ασφάλειας σε όλες τις παραγωγές. Οι κανόνες πρέπει να είναι ίδιοι για όλους και να εφαρμόζονται στην πράξη.</w:t>
      </w:r>
    </w:p>
    <w:p/>
    <w:p>
      <w:pPr/>
      <w:r>
        <w:rPr/>
        <w:t xml:space="preserve">Επιπλέον, όπως συνέβη και με τον Νόμο 5105/2024, το νομοσχέδιο αφήνει πολλά κρίσιμα ζητήματα να ρυθμιστούν αργότερα με Υπουργικές ή Κοινές Υπουργικές Αποφάσεις. Αυτό σημαίνει ότι βασικές διατάξεις του νόμου θα μπορούν να αλλάζουν χωρίς ουσιαστικό κοινοβουλευτικό έλεγχο, δημιουργώντας ανασφάλεια και έλλειψη διαφάνειας.</w:t>
      </w:r>
    </w:p>
    <w:p/>
    <w:p>
      <w:pPr/>
      <w:r>
        <w:rPr/>
        <w:t xml:space="preserve">Τέλος, υπάρχει ένα σοβαρό ζήτημα, με το προτεινόμενο σύστημα, η διοίκηση και ο ελεγκτικός μηχανισμός αλληλεξαρτώνται δημιουργώντας έτσι άλλον έναν πύρινα διάβρωσης της αξιοπιστίας της δημοσίας αποστολής του Οργανισμού σε φαινόμενα διαφθοράς. Με άλλα λόγια, ο ελεγχόμενος έχει τη δυνατότητα να επηρεάζει τον ελεγκτή του. Είναι αναγκαίο να υπάρξουν πραγματικές ασφαλιστικές δικλείδες ανεξαρτησίας και κοινωνικού ελέγχου, με τη συμμετοχή εκπροσώπων της κινηματογραφικής κοινότητας και των επαγγελματικών φορέων στις διαδικασίες εποπτείας.</w:t>
      </w:r>
    </w:p>
    <w:p/>
    <w:p>
      <w:pPr/>
      <w:r>
        <w:rPr/>
        <w:t xml:space="preserve">Συνολικά, το νομοσχέδιο με τα άρθρα 74-104, δίνει την εντύπωση ότι αποτελεί ένα προεκλογικό δώρο, ότι εξυπηρετεί κυρίως συγκεκριμένα επιχειρηματικά συμφέροντα, προσφέροντας νέες χρηματοδοτήσεις στα ιδιωτικά τηλεοπτικά κανάλια, αντί να διαμορφώνει μια ολοκληρωμένη πολιτική για την ανάπτυξη του ελληνικού κινηματογράφου και της οπτικοακουστικής παράγωγης.</w:t>
      </w:r>
    </w:p>
    <w:p/>
    <w:p>
      <w:pPr/>
      <w:r>
        <w:rPr/>
        <w:t xml:space="preserve">Για όλους αυτούς τους λόγους ζητούμε την απόσυρση από το νομοσχέδιο των άρθρων 74 έως 104 του νομοσχεδίου και την έναρξη ουσιαστικού θεσμικού διαλόγου με τους φορείς του κινηματογράφου, του πολιτισμού και των εργαζομένων, ώστε να διαμορφωθεί ένα σύγχρονο θεσμικό πλαίσιο που θα στηρίζει την καλλιτεχνική δημιουργία, θα προστατεύει την εργασία και θα ανταποκρίνεται στις πραγματικές ανάγκες του χώρου.</w:t>
      </w:r>
    </w:p>
    <w:p/>
    <w:p>
      <w:pPr/>
      <w:r>
        <w:rPr/>
        <w:t xml:space="preserve">2)	ΕΠΙ ΤΟΥ ΜΕΡΟΥΣ Ε΄ΤΟΥ ΝΟΜΟΣΧΕΔΙΟΥ -  ΛΟΙΠΕΣ ΔΙΑΤΑΞΕΙΣ ΑΡΜΟΔΙΟΤΗΤΑΣ ΤΟΥ ΥΠΟΥΡΓΕΙΟΥ ΠΟΛΙΤΙΣΜΟΥ (ΑΡΘΡΑ 105-127) ΕΧΟΥΜΕ ΝΑ ΕΠΙΣΗΜΑΝΟΥΜΕ ΤΑ ΚΑΤΩΤΕΡΩ:</w:t>
      </w:r>
    </w:p>
    <w:p/>
    <w:p>
      <w:pPr/>
      <w:r>
        <w:rPr/>
        <w:t xml:space="preserve">Α) ΕΠΙ ΤΟΥ ΑΡΘΡΟΥ 117 ΠΕΡΙ ΕΥΛΟΓΗΣ ΑΜΟΙΒΗΣ-ΤΡΟΠΟΠΟΙΗΣΗ ΠΑΡ.9 ΤΟΥ ΑΡΘΡΟΥ 18 Ν.212193.</w:t>
      </w:r>
    </w:p>
    <w:p/>
    <w:p>
      <w:pPr/>
      <w:r>
        <w:rPr/>
        <w:t xml:space="preserve">Με βάση τα προβλεπόμενα στο άρθρο αυτό, όταν στην ίδια κατηγορία ή υποκατηγορία δικαιούχων υπάρχουν περισσότεροι οργανισμοί συλλογικής διαχείρισης και τελικά δεν επιτυγχάνεται συμφωνία για τη μεταξύ τους κατανομή, τότε εκδίδεται σχετική απόφαση του ΟΠΙ διάρκειας τριών (3) ετών από την έκδοσή της που ρυθμίζει και διαμορφώνει τον τρόπο είσπραξης και καταβολής καθώς και κάθε άλλη λεπτομέρεια επί του θέματος. Οι οργανισμοί που δεν συμφωνούν με την απόφαση του ΟΠΙ μπορούν να προσφύγουν στη Δικαιοσύνη για τον καθορισμό άλλης κατανομής ανατρέποντας την απόφαση του ΟΠΙ. Η πρόβλεψη της τριετούς διάρκειας  της απόφασης του ΟΠΙ, εφόσον η απόφαση του ΟΠΙ δεν γίνεται αποδεκτή  από τα ενδιαφερόμενα μέρη, ουσιαστικά σε βάθος τριετίας θα δημιουργεί καθεστώς μεροληψίας υπέρ των οργανισμών που πιθανώς ευνοούνται από την απόφασή του έναντι των  οργανισμών που εκτιμούν ότι αδικούνται και συνεπώς θα βρίσκονται σε μειονεκτικότερη θέση σε κάθε περίπτωση προσφυγής στη Δικαιοσύνη. Θα πρέπει η απόφαση του ΟΠΙ να είναι διάρκειας ενός και μόνο έτους και ο ΟΠΙ, εάν δεν έχει επιλυθεί η διαφορά, να επανατοποθετείται με νέα απόφασή του το επόμενο έτος λαμβάνοντας υπόψιν κάθε νέο δεδομένο ή αλλαγή της υφιστάμενης κατάστασης.</w:t>
      </w:r>
    </w:p>
    <w:p/>
    <w:p/>
    <w:p>
      <w:pPr/>
      <w:r>
        <w:rPr/>
        <w:t xml:space="preserve">Β) ΕΠΙ ΤΟΥ ΑΡΘΡΟΥ 120 ΠΕΡΙ ΕΝΕΡΓΗΤΙΚΗΣ ΝΟΜΙΜΟΠΟΙΗΣΗΣ ΤΟΥ ΣΥΝΔΙΚΟΥ ΤΗΣ ΠΤΩΧΕΥΣΗΣ ΚΑΙ ΔΙΑΝΟΜΗ ΤΩΝ ΔΙΚΑΙΩΜΑΤΩΝ ΣΤΟΥΣ ΔΙΚΑΙΟΥΧΟΥΣ ΔΗΜΙΟΥΡΓΟΥΣ ΤΗΣ ΠΡΩΗΝ ΑΝΕΞΑΡΤΗΤΗΣ ΟΝΤΟΤΗΤΑΣ ΔΙΑΧΕΙΡΙΣΗΣ ΤΟΥ ΑΡΘΡΟΥ 50 ΤΟΥ Ν.4481/20217 ΜΕ ΤΗΝ ΕΠΩΝΥΜΙΑ «ΑΕΠΙ-ΕΛΛΗΝΙΚΗ ΕΤΑΙΡΙΑ ΠΡΟΣ ΠΡΟΣΤΑΣΙΑ ΤΗΣ ΠΝΕΥΜΑΤΙΚΗΣ ΙΔΙΟΚΤΗΣΙΑΣ  Α.Ε.»</w:t>
      </w:r>
    </w:p>
    <w:p/>
    <w:p/>
    <w:p>
      <w:pPr/>
      <w:r>
        <w:rPr/>
        <w:t xml:space="preserve">Με βάση τα προβλεπόμενα στο άρθρο αυτό και ειδικότερα στην παρ.4 ο σύνδικος της πτώχευσης θα διανείμει και θα αποδώσει στους δικαιούχους δημιουργούς τα ποσά που δικαιούνται με βάση τον κανονισμό διανομής της πρώην Α.Ο.Δ. (ΑΕΠΙ) όπως ίσχυε κατά το χρόνο ανάκλησης της αδείας της.</w:t>
      </w:r>
    </w:p>
    <w:p/>
    <w:p>
      <w:pPr/>
      <w:r>
        <w:rPr/>
        <w:t xml:space="preserve">Ερωτούμε: Είναι δυνατόν να γίνει η διανομή με βάση τον κανονισμό μιας εταιρίας που καταγγέλθηκε και της οποίας  αφαιρέθηκε η άδεια για σωρεία παρανομιών και παραβάσεων;  </w:t>
      </w:r>
    </w:p>
    <w:p/>
    <w:p>
      <w:pPr/>
      <w:r>
        <w:rPr/>
        <w:t xml:space="preserve">Θα πρέπει η διανομή να γίνει εφαρμόζοντας επακριβώς τον Νόμο ανάλογα με την προκύπτουσα  χρήση λαμβάνοντας υπόψιν το φυσικό, ψηφιοποιημένο και ψηφιακό αρχείο τεκμηρίωσης και έργων των δικαιούχων ή, σε εναλλακτική περίπτωση, με τον κανονισμό διανομής της διαδόχου κατάστασης ΕΥΕΔ (Ειδική Υπηρεσία Έκτακτης Διαχείρισης).</w:t>
      </w:r>
    </w:p>
    <w:p/>
    <w:p>
      <w:pPr/>
      <w:r>
        <w:rPr/>
        <w:t xml:space="preserve">Τίθεται εύλογα το ερώτημα, δεδομένου ότι στον παρόντα χρόνο οι δικαιούχοι έχοντας ενεργές συμβάσεις με άλλους Ο.Σ.Δ. για την είσπραξη των δικαιωμάτων τους, εάν τα προς είσπραξη δικαιώματά τους θα αποδοθούν απευθείας στους ίδιους ή στους Ο.Σ.Δ τους οποίους τους εκπροσωπούν τώρα. Στην περίπτωση που αποδοθούν στους Ο.Σ.Δ. που τους εκπροσωπούν τώρα και οι οποίοι θα πρέπει να αποδώσουν τελικά τα δικαιώματα στους δικαιούχους, θα πρέπει να ληφθεί μέριμνα ούτως ώστε να μην γίνουν κρατήσεις εκ νέου από τους ΟΣΔ που οι δικαιούχοι στον παρόντα χρόνο είναι μέλη, αφού ήδη αρχικά θα έχουν γίνει κρατήσεις προμήθειας και διαχειριστικών εξόδων από το σύνδικο της πτώχευσης υπέρ της πτωχευτικής περιουσίας.</w:t>
      </w:r>
    </w:p>
    <w:p/>
    <w:p>
      <w:pPr/>
      <w:r>
        <w:rPr/>
        <w:t xml:space="preserve">Επίσης, τίθεται το ερώτημα εάν υφίστανται διαπιστωμένες προκαταβολές του πρώην Α.Ο.Δ. (ΑΕΠΙ) προς δικαιούχους και εάν αυτές θα ληφθούν υπόψιν στα τελικά ποσά που θα αποδοθούν ως χρηματικό αποτέλεσμα προς αυτούς.</w:t>
      </w:r>
    </w:p>
    <w:p/>
    <w:p/>
    <w:p>
      <w:pPr/>
      <w:r>
        <w:rPr/>
        <w:t xml:space="preserve">3)	ΕΠΙ ΤΟΥ ΑΡΘΡΟΥ 122 ΠΕΡΙ ΤΟΥ ΜΗΤΡΩΟΥ ΑΠΑΣΧΟΛΟΥΜΕΝΩΝ ΣΤΟΝ ΠΟΛΙΤΙΣΜΟ – ΤΡΟΠΟΠΟΙΗΣΗ ΑΡΘΡΩΝ 108 ΚΑΙ 109 Ν.5039/2023.</w:t>
      </w:r>
    </w:p>
    <w:p/>
    <w:p>
      <w:pPr/>
      <w:r>
        <w:rPr/>
        <w:t xml:space="preserve">Τόσο στον αρχικό Νόμο 5039/2023 αλλά και στα προβλεπόμενα στο παρόν Νομοσχέδιο στο άρθρο 108 παρ.4.(ε) και 109 παρ3.(ε) για τη λειτουργία του Μητρώου Απασχολουμένων στον Πολιτισμό (Μ.Α.Π.), αναφέρεται και καταγραφή εισοδημάτων από άσκηση επιχειρηματικής δραστηριότητας. Όπως πολύ καλά γνωρίζετε και επανειλημμένα έχουμε αναφερθεί σε σχετικές επιστολές μας και δια ζώσης συναντήσεις μας σε όλα τα συναρμόδια Υπουργεία, οι εργαζόμενοι στο Θέαμα -Ακρόαμα που έχουν τιμολόγιο παροχής υπηρεσιών είναι μισθωτοί και επί του τιμολογίου που εκδίδουν επικολλάται ΕΦΚΑ Μισθωτών Υπηρεσιών (πρώην ΙΚΑ). Σε καμία περίπτωση δεν ασκούμε επιχειρηματική δραστηριότητα. Σε καμία περίπτωση τους εργαζόμενους του κλάδου μας δεν θα πρέπει να τους αφορούν οι συγκεκριμένες προβλέψεις και σε καμία περίπτωση δεν θα πρέπει να γίνει καταγραφή εισοδημάτων από τιμολόγια παροχής υπηρεσιών των εργαζομένων στο Θέαμα-Ακρόαμα αφού ως μισθωτοί ασφαλιζόμαστε στον ΕΦΚΑ (ΜΙΣΘΩΤΩΝ ΥΠΗΡΕΣΙΩΝ). Οι υποτροπές αυτής της μορφής έχουν οδηγήσει σε μεγάλα προβλήματα τον κλάδο μας σε ό,τι αφορά την είσπραξη του Ειδικού Εποχικού Επιδόματος και του Επιδόματος Ανεργίας, που παρά τις όποιες υποσχέσεις έχουμε λάβει για αντιμετώπισή τους, συνεχίζουν να ταλαιπωρούν τα μέλη μας.</w:t>
      </w:r>
    </w:p>
    <w:p/>
    <w:p>
      <w:pPr/>
      <w:r>
        <w:rPr/>
        <w:t xml:space="preserve">Επίσης διερωτώμεθα εάν αυτές οι προβλέψεις προοιωνίζουν τη λειτουργία και ένταξη στο Μητρώο Απασχολουμένων στον Πολιτισμό και εμπορικών επιχειρήσεων που σε καμία περίπτωση δεν θα πρέπει να συμπεριληφθούν σε αυτό. Στο Μ.Α.Π. πρέπει να εγγράφονται μόνο τα πρόσωπα με την ιδιότητα του εργαζομένου.</w:t>
      </w:r>
    </w:p>
    <w:p/>
    <w:p>
      <w:pPr/>
      <w:r>
        <w:rPr/>
        <w:t xml:space="preserve">Για όλους αυτούς τους λόγους ζητούμε την απόσυρση από το νομοσχέδιο των άρθρων 107, 120 και 122 του νομοσχεδίου και την έναρξη και σε αυτές τις περιπτώσεις ουσιαστικού θεσμικού διαλόγου με τους φορείς των καλλιτεχνών και εργαζομένων στην τέχνη και τον πολιτισμό, ώστε να διαμορφωθεί ένα σύγχρονο θεσμικό πλαίσιο που θα στηρίζει την καλλιτεχνική δημιουργία, θα προστατεύει την εργασία, το πνευματικό - συγγενικό δικαίωμα και θα ανταποκρίνεται στις πραγματικές ανάγκες των εργαζομένων στον σύγχρονο πολιτισμό.</w:t>
      </w:r>
    </w:p>
    <w:p/>
    <w:p>
      <w:pPr/>
      <w:r>
        <w:rPr>
          <w:b w:val="1"/>
          <w:bCs w:val="1"/>
        </w:rPr>
        <w:t xml:space="preserve">Πανελλήνια Ομοσπονδία Ενώσεων Μηχανικών Δημοσίων Υπαλλήλων Διπλωματούχων Ανωτάτων Σχολών (ΠΟ ΕΜΔΥΔΑΣ) – 19 Ιουλίου 2026, 00:19</w:t>
      </w:r>
    </w:p>
    <w:p>
      <w:pPr/>
      <w:r>
        <w:rPr/>
        <w:t xml:space="preserve">ΘΕΜΑ: Όχι στη σύσταση ΝΠΙΔ «Οργανισμός Ανάπτυξης και Διαχείρισης Ελληνικής Πολι-τιστικής Κληρονομιάς ΑΕ». Ο Πολιτισμός είναι Δημόσιο αγαθό</w:t>
      </w:r>
    </w:p>
    <w:p/>
    <w:p/>
    <w:p>
      <w:pPr/>
      <w:r>
        <w:rPr/>
        <w:t xml:space="preserve">Η Πανελλήνια Ομοσπονδία Ενώσεων Μηχανικών Δημοσίων Υπαλλήλων Διπλωματούχων Ανωτάτων Σχολών (Π.Ο. ΕΜΔΥΔΑΣ) αποτελεί την Ομοσπονδία με συνδικαλιστικό, αλλά και επιστημονικό χαρακτήρα, που εκπροσωπεί το σύνολο των Διπλωματούχων Μηχανικών οι οποίοι υπηρετούν στη Δημόσια Διοίκηση (Υπουργεία, ΝΠΔΔ, ΟΤΑ Α’ &amp; Β’ βαθ-μού). Απευθυνόμαστε σε εσάς, σε συνέχεια προηγούμενων αιτημάτων μας, σχετικά με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το οποίο αναρτήθηκε στο opengov.</w:t>
      </w:r>
    </w:p>
    <w:p/>
    <w:p>
      <w:pPr/>
      <w:r>
        <w:rPr/>
        <w:t xml:space="preserve">Ως ΠΟ ΕΜΔΥΔΑΣ, σε συνέχεια σχετική ανακοίνωσης του Τμήματος Πολιτισμού της ΕΜΔΥΔΑΣ Αττικής, εκφράζουμε την εντονότατη διαφωνία μας για την υπό σχεδιασμό εκχώρηση των αρμοδιοτήτων του ΟΔΑΠ που αφορούν στη διαχείριση των εσόδων, καθώς και στη διαχείριση της κινητής και ακίνητης περιουσίας του, σε Ανώνυμη Εταιρεία, όπως προβλέπεται στο Νομοσχέδιο. Οι διαδικασίες αυτές έγιναν με την ουσιαστική απουσία των εργαζομένων από οποιαδήποτε ενημέρωση και συμμετοχή στη φάση πριν την ανάρτηση στη διαβούλευση, παρά τις σχετικές δεσμεύσεις στην από 25-05-2026 σχετική ανακοί-νωση του Δ.Σ. του συλλόγου των εργαζομένων του ΟΔΑΠ («…Η Υπουργός επιβεβαίωσε ότι η Πρόεδρος του Δ.Σ. του ΟΔΑΠ δεν διαθέτει το τελευταίο σχέδιο νόμου, και όπως χαρακτηριστικά είπε, ούτε εκείνη έχει το τελικό σχέδιο. Δεσμεύτηκε όμως ενώπιον των παρευρισκόμενων ότι μόλις αυτό ετοιμαστεί, θα το παραδώσει στην Ομοσπονδία και τον Πρόεδρο αυτής, ενώ το τοποθέτησε χρονικά πριν αυτό βγει σε διαβούλευση. Ο Πρόεδρος της Ομοσπονδίας αντίστοιχα, δεσμεύτηκε ότι θα δώσει το σχέδιο νόμου, όταν το λάβει από την Υπουργό, προς το σωματείο του ΟΔΑΠ, προκειμένου να ενημερωθούν όλοι οι υπάλληλοι»).</w:t>
      </w:r>
    </w:p>
    <w:p/>
    <w:p>
      <w:pPr/>
      <w:r>
        <w:rPr/>
        <w:t xml:space="preserve">Επίσης ο σύλλογος των εργαζομένων του ΟΔΑΠ με πρωτοκολλημένο αίτημά του στην από 28-04-2026 σχετική ανακοίνωση του Δ.Σ., σε συνέχεια απόφασης γενικής συνέλευσης, ζήτησε να ενημερώνεται για κάθε στοιχείο και εξέλιξη σχετικά με την ίδρυση της ΑΕ. Η μελέτη βιωσιμότητας του νέου φορέα που ζητήθηκε από την Διοίκηση του ΟΔΑΠ με ανάθεση σε ιδιωτική νομική εταιρεία (τεκμαίρεται επειδή βγήκε το σχέδιο νόμου ότι έχει παραδοθεί και παραληφθεί με θετική εισήγηση εκ μέρους της διοίκησης του ΟΔΑΠ), δεν έχει περιέλθει ακόμη σε γνώση των εργαζομένων!</w:t>
      </w:r>
    </w:p>
    <w:p/>
    <w:p>
      <w:pPr/>
      <w:r>
        <w:rPr/>
        <w:t xml:space="preserve">Συνεπώς, το σχέδιο κατατέθηκε στη διαβούλευση χωρίς παρουσίαση στους εργαζόμενους οποιασδήποτε οικονομοτεχνικής μελέτης ως προς τα οικονομικά και κοινωνικά οφέλη από την ίδρυση της ΑΕ, αποδυναμώνοντας περαιτέρω την οικονομική στήριξη του αρχαιολογικού έργου, όπως έχουμε δυσάρεστη εμπειρία από πληθώρα πα-ραδειγμάτων με παρόμοιες ανώνυμες εταιρίες εντός του δημοσίου (ΟΠΕΠ ΑΕ, αναπτυξια-κές δήμων κλπ). Ο περιορισμός και η αλλοίωση του δημόσιου χαρακτήρα του ΟΔΑΠ και η υφαρπαγή των καίριας σημασίας αρμοδιοτήτων του από μια Ανώνυμη Εταιρεία, το καθεστώς λειτουργίας της οποίας θα βρίσκεται, λογικά σκεπτόμενοι, εκτός δημόσιου λογιστικού, εκτός ενιαίου μισθολογίου, εκτός προσλήψεων ΑΣΕΠ και γενικότερα εκτός δημοσίου ελέγχου, καθώς δεν θα υπήρχε λόγος δημιουργίας της εάν έκανε όλα τα παραπάνω που εφαρμόζει ο ΟΔΑΠ, μας βρίσκει κάθετα αντίθετους.</w:t>
      </w:r>
    </w:p>
    <w:p/>
    <w:p/>
    <w:p>
      <w:pPr/>
      <w:r>
        <w:rPr/>
        <w:t xml:space="preserve">Το γεγονός, με βάση τα συμπεράσματα των ίδιων των εργαζομένων του ΟΔΑΠ, εί-ναι ότι ναι μεν ονομαστικά δεν φαίνεται να καταργείται κάποια διεύθυνση του ΟΔΑΠ (εκτός από το Τμήμα Νομικής Υποστήριξης που εκπίπτει σε Γραφείο), ωστόσο διαφαίνεται ότι υπάρχουν διευθύνσεις, αυτοτελή τμήματα ή και τμήματα τα οποία μετατρέπονται σε «κουφάρια» χωρίς ουσιαστικές αρμοδιότητες και με το ελάχιστο εναπομένον προσωπικό χωρίς καμία πιθανότητα αύξησης (αντίθετα σε επόμενη φάση είναι υπαρκτός ο κίνδυνος πλήρους κατάργησης) και τα οποία θα ασκούν απλώς μια ακαθόριστη «παρακολούθη-ση» δραστηριοτήτων της ΑΕ.</w:t>
      </w:r>
    </w:p>
    <w:p/>
    <w:p/>
    <w:p>
      <w:pPr/>
      <w:r>
        <w:rPr/>
        <w:t xml:space="preserve">• Υποθάθμιση του εργασιακού καθεστώτος της Δ/νσης Μελετών, Εργων, Αποτυπώσεων και Αξιοποίησης Ακίνητης Περιουσίας.</w:t>
      </w:r>
    </w:p>
    <w:p/>
    <w:p>
      <w:pPr/>
      <w:r>
        <w:rPr/>
        <w:t xml:space="preserve">Με βάση το κατατεθέν σχέδιο νόμου του ΥΠΠΟ, για τους υπηρετούντες μονίμους δημοσίους υπαλλήλους και υπαλλήλους ΙΔΑΧ του κλάδου ΠΕ και ΤΕ Μηχανικών που εργάζονται αυτή τη στιγμή στον Οργανισμό και σε σύγκριση με τον υφιστάμενο Ν. 4761/2020 προβλέπονται τα εξής:</w:t>
      </w:r>
    </w:p>
    <w:p/>
    <w:p>
      <w:pPr/>
      <w:r>
        <w:rPr/>
        <w:t xml:space="preserve">- Στο άρθρο 30, περ. η και στο άρθρα 48-50 προβλέπεται η οριστική κατάργηση των κενών οργανικών θέσεων του ΟΔΑΠ σε όλες τις Δ/νσεις και τα Τμήματα, η συνολική δε μείωση των οργανικών θέσεων της τεχνικής Δ/νσης κατά 5 οργανικές θέσεις. </w:t>
      </w:r>
    </w:p>
    <w:p/>
    <w:p>
      <w:pPr/>
      <w:r>
        <w:rPr/>
        <w:t xml:space="preserve">- Για τη στελέχωση της νεοσύστατης εταιρείας ΑΕ, το άρθρο 21 παρ. 6 προβλέπεται η δυνατότητα αποσπάσεων ή μετατάξεων μέσω της Κινητικότητας.</w:t>
      </w:r>
    </w:p>
    <w:p/>
    <w:p>
      <w:pPr/>
      <w:r>
        <w:rPr/>
        <w:t xml:space="preserve">- Δύναται να πρόσλαμβάνεται στην ΑΕ προσωπικό με συμβάσεις έργου εκτός ΑΣΕΠ (Άρθρο 21, παρ. 4).</w:t>
      </w:r>
    </w:p>
    <w:p/>
    <w:p>
      <w:pPr/>
      <w:r>
        <w:rPr/>
        <w:t xml:space="preserve">- Στο άρθρο 6, παρ. 4, περ. α ορίζεται ότι η ΑΕ θα κάνει χρήση, άνευ ανταλλάγματος, των εργαστηρίων παραγωγής του ΟΔΑΠ και του εξοπλισμού τους, «επικουρούμενη από το προσωπικό του Ο.Δ.Α.Π. που απασχολείται σε αυτά».</w:t>
      </w:r>
    </w:p>
    <w:p/>
    <w:p/>
    <w:p>
      <w:pPr/>
      <w:r>
        <w:rPr/>
        <w:t xml:space="preserve">• Αναδιανομή αρμοδιοτήτων τεχνικής Δ/νσης ΟΔΑΠ &amp; νέας ΑΕ.</w:t>
      </w:r>
    </w:p>
    <w:p/>
    <w:p>
      <w:pPr/>
      <w:r>
        <w:rPr/>
        <w:t xml:space="preserve">- Στο άρθρο 7, παρ. 8 προβλέπεται ότι στη «Hellenic Heritage Α.Ε.» παρέχεται η εντολή να διαχειρίζεται την ακίνητη περιουσία του ΟΔΑΠ.</w:t>
      </w:r>
    </w:p>
    <w:p/>
    <w:p>
      <w:pPr/>
      <w:r>
        <w:rPr/>
        <w:t xml:space="preserve">- Το άρθρο 6, παρ. 4, περ. α και ε επιτρέπει στην ΑΕ να αναθέτει την εκπόνηση κάθε είδους μελετών, συμβουλευτικών υπηρεσιών, καθώς και την υλοποίηση εξειδικευμένων τεχνικών έργων σε εξωτερικούς ιδιώτες αναδόχους.</w:t>
      </w:r>
    </w:p>
    <w:p/>
    <w:p>
      <w:pPr/>
      <w:r>
        <w:rPr/>
        <w:t xml:space="preserve">- Το άρθρο 6, παρ. 2, περ. ε ορίζει ότι η ΑΕ αναλαμβάνει την ανέγερση, επισκευή και συντήρηση κτιριακών υποδομών εξυπηρέτησης επισκεπτών, όπως φυλάκια, εκδοτήρια, πωλητήρια και αναψυκτήρια, εντός και πέριξ κηρυγμένων αρχαιολογικών χώρων.</w:t>
      </w:r>
    </w:p>
    <w:p/>
    <w:p>
      <w:pPr/>
      <w:r>
        <w:rPr/>
        <w:t xml:space="preserve">- Το άρθρο 5, περ. α και γ, σε συνδυασμό με το άρθρο 6, παρ. 1, περ. α, μεταφέρει στην ΑΕ όλα τα μεγάλα ψηφιακά έργα, τη σήμανση των χώρων, τη χρήση τεχνητής νοημοσύνης και τη διαχείριση των τρισδιάστατων ψηφιακών μοντέλων (3D) των μνημείων στην αποκλειστική δικαιοδοσία της Α.Ε.</w:t>
      </w:r>
    </w:p>
    <w:p/>
    <w:p>
      <w:pPr/>
      <w:r>
        <w:rPr/>
        <w:t xml:space="preserve">- Η ΑΕ έχει τις αρμοδιότητες (Άρθρο 11 παρ. 3 περ. ε) αποφασίζοντος οργάνου αναθέτουσας αρχής για συμβάσεις προμηθειών και παροχής υπηρεσιών με εκτιμώμενη αξία ανώτερη του ορίου της απευθείας ανάθεσης κατά τον ν. 4412/2016 (Α’ 147), καθώς και για συμβάσεις των εξαιρετικών περιπτώσεων που προβλέπονται από τα άρθρα 7 έως 12 και συμβάσεις των άρθρων 32 και 107 έως 110 του ν. 4412/201.</w:t>
      </w:r>
    </w:p>
    <w:p/>
    <w:p>
      <w:pPr/>
      <w:r>
        <w:rPr/>
        <w:t xml:space="preserve">- Οι συμβάσεις για την αξιοποίηση της ακίνητης περιουσίας γίνονται από την ΑΕ στο όνομα του ΟΔΑΠ (Άρθρο 33 παρ.3 ).</w:t>
      </w:r>
    </w:p>
    <w:p/>
    <w:p>
      <w:pPr/>
      <w:r>
        <w:rPr/>
        <w:t xml:space="preserve">- Αφαιρείται από τον ΟΔΑΠ η αρμοδιότητα ίδρυσης και λειτουργίας πωλητηρίων (Αρμοδιότητες Γενικού Διευθυντή, Άρθρο 37).</w:t>
      </w:r>
    </w:p>
    <w:p/>
    <w:p/>
    <w:p>
      <w:pPr/>
      <w:r>
        <w:rPr/>
        <w:t xml:space="preserve">Αντίθετα, δραστηριότητες στην ΔΜΕΑΑΠ όπως οι απαλλοτριώσεις για αρχαιολογι-κούς σκοπούς του Τμήματος Αποτυπώσεων, Κτηματολογίου και Γεωχωρικών Δεδομένων, δεν επηρεάζονται καθώς θεωρούνται μη παραγωγικές. Ενώ συνολικά στο οργανισμό βάσει του νομοσχεδίου έχουν περιοριστεί οι αρμοδιότητες του ΟΔΑΠ, στο Τμήμα παραμένουν ενώ ταυτόχρονα αποδυναμώνεται το δυναμικό του. Συγκεκριμένα, το Τμήμα σύμφωνα με τον ισχύοντα νόμο 4761/2020 (άρθρο 27, παρ. 4) «…είναι αρμόδιο για τη διενέργεια διαδικασιών κτηματογράφησης, τοπογραφικών εργασιών και μελετών και την το-πογραφική αποτύπωση αρχαιολογικών χώρων, μνημείων, καθώς και των ακινήτων ιδιοκτησίας Ο.Δ.Α.Π., την εκπόνηση και έλεγχο κτηματολογικών μελετών, κτηματολογικών διαγραμμάτων και πινάκων απαλλοτρίωσης των προς απαλλοτρίωση ακινήτων, καθώς και για την ανάπτυξη, τήρηση, διαχείριση και επεξεργασία των σχετικών γεωχωρικών δεδομένων. Λειτουργεί ως Διευθύνουσα Υπηρεσία στη φάση της εκτέλεσης σύμβασης ανάθεσης για την εκπόνηση τοπογραφικών μελετών ή για την παροχή λοιπών συναφών επιστη-μονικών υπηρεσιών». Οι ανωτέρω αρμοδιότητες διατηρούνται στο ακέραιο βάσει του υ-ποβληθέντος νομοσχεδίου, ενώ με βάση την προσθήκη στην παράγραφο δ του άρθρο 16 «….και αποζημιώσεων για ρυμοτομικές απαλλοτριώσεις ακινήτων προς ωφέλεια του Υ-πουργείου Πολιτισμού, ….» διαφαίνεται ότι θα αυξηθεί το αντικείμενο του Τμήματος έστω σε επίπεδο τεχνικής συνδρομής.</w:t>
      </w:r>
    </w:p>
    <w:p/>
    <w:p/>
    <w:p>
      <w:pPr/>
      <w:r>
        <w:rPr/>
        <w:t xml:space="preserve">Στο Τμήμα αυτό, μεταξύ άλλων, καταργούνται οι δύο (2) κενές οργανικές θέσεις μονίμων υπαλλήλων ΠΕ Μηχανικών με ειδικότητα Αγρονόμου Τοπογράφου Μηχανικού (εκ των οποίων η μία είναι ήδη δεσμευμένη να καλυφθεί με την προκήρυξη 2ΓΒ/2026) το οποίο θεωρούμε ότι είναι καταφανώς λανθασμένο και αδικαιολόγητο με βάση τις ανά-γκες της Υπηρεσίας. Ειδικότερα, στο εν λόγω νομοσχέδιο αναφέρονται μόνο τέσσερις (4) θέσεις της ειδικότητας αυτής οι οποίες είναι ήδη καλυμμένες. Συγκεκριμένα οι τρεις (3) αφορούν το Τμήμα Αποτυπώσεων, Κτηματολογίου και Γεωχωρικών Δεδομένων και η μία (1) το Τμήμα Αξιοποίησης Ακίνητης Περιουσίας. Ας σημειωθεί το γεγονός ότι η αύξηση των θέσεων από πέντε (5) σε έξι (6) έγινε με πρόσφατη πράξη της διοίκησης (Ο-ΔΑΠ/ΓΔ/ΔΕΟΛ/7965/8-4-2025, ΑΔΑ ΡΜΦΕ46ΜΖΜ4-8O0). Το θέμα της ανάγκης στελέχωσης του Τμήματος Αποτυπώσεων, Κτηματολογίου και Γεωχωρικών Δεδομένων με ΠΕ Μηχανικούς, με ειδικότητα Αγρονόμου Τοπογράφου Μηχανικού, έχει επισημανθεί πολλές φορές με υπηρεσιακά σημειώματα της Προϊσταμένης του Τμήματος και του Προϊσταμένου της Δ/νσης και έχουν γίνει αποδεκτά από τη διοίκηση με ενέργειες όπως με τη συμμετοχή στην κινητικότητα (2 θέσεις αγρονόμου τοπογράφου μηχανικού με απόσπαση), την προ-κήρυξη για κάλυψη μονίμου υπαλλήλου μηχανικού της αυτής ειδικότητας και το αίτημα κάλυψης 2 θέσεων ΣΟΧ αγρονόμων τοπογράφων μηχανικών.</w:t>
      </w:r>
    </w:p>
    <w:p/>
    <w:p/>
    <w:p>
      <w:pPr/>
      <w:r>
        <w:rPr/>
        <w:t xml:space="preserve">Επισημαίνεται τέλος ότι υπάρχει αυξανόμενη ροή των υποθέσεων, τόσο των κτημα-τογραφήσεων όσο και ειδικών τεχνικών θεμάτων που προκύπτουν με το Κτηματολόγιο και αφορούν σε όλη την ελληνική επικράτεια.</w:t>
      </w:r>
    </w:p>
    <w:p/>
    <w:p>
      <w:pPr/>
      <w:r>
        <w:rPr/>
        <w:t xml:space="preserve">Με βάση τα ανωτέρω αποδεικνύεται η εσφαλμένη κατάργηση των θέσεων των μο-νίμων υπαλλήλων ΠΕ Μηχανικών με ειδικότητα Αγρονόμου Τοπογράφου Μηχανικού, οι οποίες με βάση τα πάγια αιτήματα των εργαζομένων στο Τμήμα θα έπρεπε να αυξηθούν και όχι να μειωθούν.</w:t>
      </w:r>
    </w:p>
    <w:p/>
    <w:p>
      <w:pPr/>
      <w:r>
        <w:rPr/>
        <w:t xml:space="preserve">Στα άλλα δύο Τμήματα, το Τμήμα Αξιοποίησης Ακινήτων της Δ/νσης «κατακρεουργείται» πλήρως σε ότι αφορά τις δραστηριότητές του, καθώς θα είναι αρμόδιο να παρακολουθεί την διαχείριση της αξιοποίησης της ακίνητης περιουσίας του ΟΔΑΠ που γίνεται από την ΑΕ (Άρθρο 44). Επίσης με βάση τις εξουσιοδοτικές Διατάξεις (Άρθρο 51 παρ. 2, 3, 10) καταργούνται το πρόγραμμα αξιοποίησης ακινήτων και αναψυκτηρίων, οι όροι εφαρμογής της διαδικασίας εφάπαξ σύναψης μισθώσεων για αναψυκτήρια και η ίδρυση νέων πωλητηρίων.</w:t>
      </w:r>
    </w:p>
    <w:p/>
    <w:p>
      <w:pPr/>
      <w:r>
        <w:rPr/>
        <w:t xml:space="preserve">Το Τμήμα Μελετών και Εργων υποβαθμίζεται σε μεγάλο βαθμό, καθώς καταργούνται (άρθρο 31 παρ.2 στ, ζ, θ, ι και παρ. 3) διάφορες δραστηρίοτητες που ασκούνται όπως «στ) τη δημιουργία και αναβάθμιση διαδικτυακών ή φυσικών πωλητηρίων εντός και εκτός αρχαιολογικών χώρων και μουσείων, σε επιλεγμένα σημεία της Επικράτειας, καθώς και στο εξωτερικό, και τη συνεργασία με καταστήματα τρίτων ή άλλα εμπορικά δίκτυα και κανάλια πωλήσεων, με σκοπό τη διάθεση στο κοινό εμπνευσμένων εφαρμογών, καλλιτεχνημάτων, ακριβών αντιγράφων, έργων τέχνης, ψηφιακών εφαρμογών, εν γένει πολιτιστικών αντικειμένων, καθώς και τυποποιημένων - πιστοποιημένων προϊόντων της αγροδιατροφικής αλυσίδας, προερχόμενων από τη χλωρίδα που βρίσκεται εντός αρχαιολογικών χώρων, θ) τη δημιουργία και αναβάθμιση εργαστηρίων κατασκευής εκμαγείων, ακριβών αντιγράφων και απομιμημάτων, καθώς και τη δημιουργία επισκέψιμων εκθεσιακών χώρων με αντικείμενο θέματα από την πολιτιστική κληρονομιά». Επιπλέον στην παράγραφο 3 οι αρμοδιότητες αυτές μεταφέρονται στην ΑΕ.</w:t>
      </w:r>
    </w:p>
    <w:p/>
    <w:p>
      <w:pPr/>
      <w:r>
        <w:rPr/>
        <w:t xml:space="preserve">Ιδιαίτερα πρέπει να τονιστεί η ανάληψη εκ μέρους της ΑΕ της ανέγερσης, επισκευής και συντήρησης φυλακείων, εκδοτηρίων εισητηρίων, πωλητηρίων, αναψυκτηρίων και λοιπόων κτιρίων εξυπηρέτησης επισκεπτών σε αρχαιολογικούς χώρους, μνημεία, μουσεία και λοιπά, δραστηριότητες που μέχρι σήμερα ασκούσε το Τμήμα Μελετών και Έργων του ΟΔΑΠ. Παρόλα αυτά, στο Τμήμα Μελετών και Εργων φαίνεται να παραμένουν δραστηριότητες επικαλυπτόμενες με αυτές της ΑΕ. Φυσικά παραμένει ο κίνδυνος μελλοντικά να αφαιρεθούν πλήρως με τη μέθοδο της σταδιακής αποσύνθεσης προκειμένου να είναι πιο εύπεπτο στους εργαζόμενους.</w:t>
      </w:r>
    </w:p>
    <w:p/>
    <w:p>
      <w:pPr/>
      <w:r>
        <w:rPr/>
        <w:t xml:space="preserve">Επισημαίνουμε ότι ειδικότητες όπως οι αρχιτέκτονες και οι μηχανολόγοι βρίσκονταν στη Δ/νση ήδη σε μεγάλη έλλειψη εδώ και πολλά χρόνια, πόσω μάλλον με την νέα κατάσταση.</w:t>
      </w:r>
    </w:p>
    <w:p/>
    <w:p/>
    <w:p>
      <w:pPr/>
      <w:r>
        <w:rPr/>
        <w:t xml:space="preserve">Με βάση τα ανωτέρω,</w:t>
      </w:r>
    </w:p>
    <w:p/>
    <w:p>
      <w:pPr/>
      <w:r>
        <w:rPr/>
        <w:t xml:space="preserve">• σας καλούμε να απουρθούν οι εν λόγω προβλέψεις και να προσέλθετε σε διάλογο με τους εργαζόμενους, για το μέλλον του Οργανισμού, ώστε να επιτελέσει αποτελεσματικά το έργο του, επ’ ωφελεία του Δημοσίου συμφέροντος, αλλά και του Πολιτισμού ως δημόσιο αγαθό.</w:t>
      </w:r>
    </w:p>
    <w:p/>
    <w:p>
      <w:pPr/>
      <w:r>
        <w:rPr/>
        <w:t xml:space="preserve">• ασπαζόμαστε πλήρως τις θέσεις των Σωματείων του χώρου του Υπ. Πολιτισμού, οι οποίοι υπερθεματίζουν για την απουσία κάθε έννοιας δημοσίου συμφέροντος σε μία τέτοια εξέλιξη και συντασσόμαστε αλληλέγγυοι στο πλευρό των εργαζομένων του ΟΔΑΠ, οι οποίοι σε συνέχεια της τελευταίας γενικής τους συνέλευσης εξέδωσαν ανακοίνωση στην οποία ομόφωνα διεκδικούν:</w:t>
      </w:r>
    </w:p>
    <w:p/>
    <w:p>
      <w:pPr/>
      <w:r>
        <w:rPr/>
        <w:t xml:space="preserve">- Τη διατήρηση του δημόσιου χαρακτήρα του ΟΔΑΠ.</w:t>
      </w:r>
    </w:p>
    <w:p/>
    <w:p>
      <w:pPr/>
      <w:r>
        <w:rPr/>
        <w:t xml:space="preserve">- Την άμεση ενίσχυση της στελέχωσης των πωλητηρίων, των εργαστηρίων και όλων των Διευθύνσεων του ΟΔΑΠ.</w:t>
      </w:r>
    </w:p>
    <w:p/>
    <w:p>
      <w:pPr/>
      <w:r>
        <w:rPr/>
        <w:t xml:space="preserve">- Την αντίθεσή στην αλλαγή του νομικού πλαισίου, στην ίδρυση ανώνυμης ε-ταιρείας και την εκχώρηση οποιονδήποτε αρμοδιοτήτων του ΟΔΑΠ.</w:t>
      </w:r>
    </w:p>
    <w:p/>
    <w:p>
      <w:pPr/>
      <w:r>
        <w:rPr/>
        <w:t xml:space="preserve">- Τη διασφάλιση των υπηρεσιακών και πάσης φύσεως δικαιωμάτων των εργα-ζομένων του ΟΔΑΠ, χωρίς να υπάρξει οποιοσδήποτε κίνδυνος μεταβολής της σχέσης εργασίας τους.</w:t>
      </w:r>
    </w:p>
    <w:p/>
    <w:p>
      <w:pPr/>
      <w:r>
        <w:rPr>
          <w:b w:val="1"/>
          <w:bCs w:val="1"/>
        </w:rPr>
        <w:t xml:space="preserve">Ένωση Μηχανικών Δημοσίων Υπαλλήλων Διπλωματούχων Ανωτάτων Σχολών Αττικής - τμήμα Πολιτισμού – 19 Ιουλίου 2026, 00:32</w:t>
      </w:r>
    </w:p>
    <w:p>
      <w:pPr/>
      <w:r>
        <w:rPr/>
        <w:t xml:space="preserve">Το Σχέδιο Νόμου για τη σύσταση ΑΕ στον Οργανισμό Διαχείρισης και Ανάπτυξης Πολιτιστικών Πόρων (ΟΔΑΠ) του Υπουργείου Πολιτισμού, το οποίο έχει τεθεί αυτές τις μέρες για διαβούλευση, αποτελεί την επιτομή του αδιαφανούς τρόπου λειτουργίας του Υπουργείου και του Διοικητικού Συμβουλίου (ΔΣ) του ΟΔΑΠ σε καθοριστικής σημασίας ενέργειες που αφορούν τον πολιτισμό. Η σύσταση και ο προτεινόμενος τρόπος λειτουργίας της ΑΕ στηρίζεται αποκλειστικά στα συμπεράσματα μιας Μελέτης Βιωσιμότητας, η οποία όχι μόνο δεν έχει κοινοποιηθεί πουθενά, αλλά δεν έχει γνωστοποιηθεί από το ΔΣ ούτε καν στους ίδιους τους υπαλλήλους του ΟΔΑΠ, που επανειλημμένως την έχουν ζητήσει. Παράλληλα, το περιεχόμενο του Σχεδίου Νόμου για τη σύσταση της εν λόγω ΑΕ, είναι ενδεικτικό της κυρίαρχης αντίληψης της εμπορευματοποίησης των πάντων, χωρίς καμία απολύτως μέριμνα για ταυτόχρονη κοινωνική και πολιτισμική πρόσοδο.           </w:t>
      </w:r>
    </w:p>
    <w:p/>
    <w:p/>
    <w:p>
      <w:pPr/>
      <w:r>
        <w:rPr/>
        <w:t xml:space="preserve">Οι σύγχρονες στρατηγικές του Υπουργείου Πολιτισμού για τον πολιτισμό και ειδικότερα για τη διαχείριση του υλικού και άυλου πολιτιστικού αποθέματος της χώρας μας, αντιμετωπίζουν τον πολιτισμό αποκλειστικά ως οικονομικό μέγεθος με κερδοσκοπικό χαρακτήρα και όχι ως δημόσιο κοινωνικό αγαθό, καθόλα προσβάσιμο στους πολίτες, καλλιεργούμενο ποικιλοτρόπως και αναπτυσσόμενο σε όλο το φάσμα της κοινωνικής διαστρωμάτωσης. Η χάραξη και η υλοποίηση της πολιτικής για τον πολιτισμό εκχωρείται σε απροσδιορίστου προσόντων ιδιώτες και όχι σε ανθρώπους των γραμμάτων και των τεχνών ή σε αναγνωρισμένες για έργο και το ήθος τους προσωπικότητες του πολιτισμού διεθνούς εμβέλειας. Προτεραιότητα αποτελεί η «αξιοποίηση» της ακίνητης περιουσίας που κατέχει το Υπουργείο νοικιάζοντάς την σε ιδιώτες, χωρίς καμία απολύτως ρήτρα πολιτιστικής χρήσης και όχι στην παραχώρηση μέρους αυτής στη νέα γενιά καλλιτεχνών που παράγει σύγχρονο πολιτισμό και έχει αδήριτη ανάγκη υποστήριξης. Αυτό που δυστυχώς καλούμαστε όλοι από διαφορετική θέση ο καθένας να διαχειριστούμε είναι η έλλειψη ενός οράματος για τον πολιτισμό με κριτήριο τον πολιτισμό.     </w:t>
      </w:r>
    </w:p>
    <w:p/>
    <w:p/>
    <w:p>
      <w:pPr/>
      <w:r>
        <w:rPr/>
        <w:t xml:space="preserve">Δεδομένου όλων των παραπάνω ζητούμε: </w:t>
      </w:r>
    </w:p>
    <w:p/>
    <w:p>
      <w:pPr/>
      <w:r>
        <w:rPr/>
        <w:t xml:space="preserve">-	Την απόσυρση από το Σχέδιο Νόμου της σύστασης νομικού προσώπου ιδιωτικού δικαίου με την επωνυμία «Οργανισμός Ανάπτυξης και Διαχείρισης Ελληνικής Πολιτιστικής Κληρονομιάς ΑΕ».</w:t>
      </w:r>
    </w:p>
    <w:p/>
    <w:p>
      <w:pPr/>
      <w:r>
        <w:rPr/>
        <w:t xml:space="preserve">-	Τη διατήρηση του Δημόσιου χαρακτήρα του ΟΔΑΠ και το δημόσιο έλεγχο στη διαχείριση της υλικής και της άυλης πολιτιστικής κληρονομιάς.   </w:t>
      </w:r>
    </w:p>
    <w:p/>
    <w:p>
      <w:pPr/>
      <w:r>
        <w:rPr/>
        <w:t xml:space="preserve">-	Τον προσδιορισμό σε προγραμματικό επίπεδο των πολιτικών ανάδειξης όχι μόνο της πολιτιστικής κληρονομιάς, αλλά και της σύγχρονης πολιτιστικής δημιουργίας, υπό το πρίσμα του ότι ο πολιτισμός είναι πρωτίστως δημόσιο, κοινωνικό αγαθό.  </w:t>
      </w:r>
    </w:p>
    <w:p/>
    <w:p>
      <w:pPr/>
      <w:r>
        <w:rPr/>
        <w:t xml:space="preserve">- 	Την εκπόνηση οικονομοτεχνικής μελέτης, προκειμένου να προσδιοριστούν ποιες είναι οι προϋποθέσεις ενίσχυσης σε στελεχικό δυναμικό και υλικοτεχνική υποδομή, ώστε ο ΟΔΑΠ με τη σημερινή του μορφή ως ΝΠΔΔ ελεγχόμενο από όλους τους αυστηρούς ελεγκτικούς μηχανισμούς του Δημοσίου να μπορέσει να συμβάλει στην υλοποίηση των ως άνω πολιτικών.       </w:t>
      </w:r>
    </w:p>
    <w:p/>
    <w:p>
      <w:pPr/>
      <w:r>
        <w:rPr/>
        <w:t xml:space="preserve">-	Την άμεση ενίσχυση με υπαλλήλους όλων των κλάδων των πωλητηρίων, των εργαστηρίων και όλων των Διευθύνσεων του ΟΔΑΠ και ειδικότερα των ΠΕ Μηχανικών στις τεχνικές υπηρεσίες του ΟΔΑΠ, κυρίως δε της ειδικότητας Αρχιτεκτόνων, καθώς και της ειδικότητας Αγρονόμων Τοπογράφων, των οποίων οι αρμοδιότητες παραμένουν.        </w:t>
      </w:r>
    </w:p>
    <w:p/>
    <w:p>
      <w:pPr/>
      <w:r>
        <w:rPr/>
        <w:t xml:space="preserve">-	Την εφαρμογή πολιτικών που αντιμετωπίζουν τον πολιτισμό όχι αποκλειστικά ως οικονομικό μέγεθος, αλλά ως μοχλό ανάπτυξης της τοπικής κοινωνίας και οικονομίας.</w:t>
      </w:r>
    </w:p>
    <w:p/>
    <w:p>
      <w:pPr/>
      <w:r>
        <w:rPr/>
        <w:t xml:space="preserve">-	Στις περιπτώσεις αξιοποίησης της ακίνητης περιουσίας που διαχειρίζεται ο ΟΔΑΠ να υπάρχει ως προϋπόθεση οι εν δυνάμει χρήσεις να αφορούν στον πολιτισμό και να συμβάλουν στην ευρύτερη πρόσβαση των πολιτών στα πολιτιστικά αγαθά.   </w:t>
      </w:r>
    </w:p>
    <w:p/>
    <w:p>
      <w:pPr/>
      <w:r>
        <w:rPr/>
        <w:t xml:space="preserve">-	Μέρος των ακινήτων του ΟΔΑΠ σε πανελλαδική κλίμακα να παραχωρείται δωρεάν σε καλλιτεχνικές ομάδες και ανεξάρτητους δημιουργούς, ώστε να ενισχυθεί ουσιαστικά η παραγωγή και η διάχυση του σύγχρονου πολιτισμού.</w:t>
      </w:r>
    </w:p>
    <w:p/>
    <w:p>
      <w:pPr/>
      <w:r>
        <w:rPr>
          <w:b w:val="1"/>
          <w:bCs w:val="1"/>
        </w:rPr>
        <w:t xml:space="preserve">ΣΥΛΛΟΓΟΣ ΥΠΑΛΛΗΛΩΝ ΤΟΥ ΟΡΓΑΝΙΣΜΟΥ ΔΙΑΧΕΙΡΙΣΗΣ &amp; ΑΝΑΠΤΥΞΗΣ ΠΟΛΙΤΙΣΤΙΚΩΝ ΠΟΡΩΝ (ΟΔΑΠ) – 19 Ιουλίου 2026, 15:14</w:t>
      </w:r>
    </w:p>
    <w:p>
      <w:pPr/>
      <w:r>
        <w:rPr/>
        <w:t xml:space="preserve">Γενικό σχόλιο επί της νομοθετικής πρωτοβουλίας για τη σύσταση του ΝΠΙΔ «Οργανισμός Ανάπτυξης και Διαχείρισης Ελληνικής Πολιτιστικής Κληρονομιάς Α.Ε.»:</w:t>
      </w:r>
    </w:p>
    <w:p/>
    <w:p/>
    <w:p>
      <w:pPr/>
      <w:r>
        <w:rPr/>
        <w:t xml:space="preserve">Η Γενική Συνέλευση του Συλλόγου Υπαλλήλων του ΟΔΑΠ θεωρεί ότι πρώτιστο μέλημα οφείλει να είναι η επαρκής στελέχωση του Οργανισμού σε αριθμό εργαζομένων και αντίστοιχες ειδικότητες, έτσι ώστε να επιτελέσει τον ρόλο του και να αναλάβει πρόσθετα καθήκοντα, αντί για τη σύσταση Α.Ε. που θα αναλάβει το παραγωγικό κομμάτι των εσόδων του και την υλοποίηση έργων. Από το 2020 που άλλαξε το νομικό πλαίσιο έως σήμερα το προσωπικό αυξομειώθηκε μέσω διαδικασιών κατά παρέκκλισης αποσπάσεων και μετατάξεων, αλλά χωρίς αποτέλεσμα, καθώς υπάλληλοι έκαναν χρήση τέτοιων διατάξεων και για να αποχωρήσουν. Σήμερα η υποστελέχωση παραμένει, ενώ πολλοί εργαζόμενοι επιθυμούν την μετακίνησή του ανεπιτυχώς λόγω των περιορισμών του Ν. 4440/2016, όπως τροποποιήθηκε και ισχύει. Πρώτιστο μέλημα των εργαζομένων είναι να μην μετακινηθεί ή διατεθεί κανένας υπάλληλος χωρίς τη δική του συναίνεση στην εξυπηρέτηση των σκοπών της εταιρείας, καθώς και να μη χαθεί καμία θέση εργαζομένου στον υφιστάμενο Οργανισμό (ΟΔΑΠ).</w:t>
      </w:r>
    </w:p>
    <w:p/>
    <w:p/>
    <w:p>
      <w:pPr/>
      <w:r>
        <w:rPr/>
        <w:t xml:space="preserve">Επιμέρους κατ΄ άρθρον παρατηρήσεις στο Α΄ Μέρος του Σχεδίου Νόμου όπως κατατέθηκαν στον Σύλλογο από τα μέλη του:</w:t>
      </w:r>
    </w:p>
    <w:p/>
    <w:p/>
    <w:p>
      <w:pPr/>
      <w:r>
        <w:rPr/>
        <w:t xml:space="preserve">Άρθρο 6:</w:t>
      </w:r>
    </w:p>
    <w:p/>
    <w:p/>
    <w:p>
      <w:pPr/>
      <w:r>
        <w:rPr/>
        <w:t xml:space="preserve">Αναφέρεται η χρήση των εργαστηρίων παραγωγής και του εξοπλισμού του ΟΔΑΠ από την ΑΕ άνευ ανταλλάγματος αλλά και η υποχρέωση των εργαζομένων στα εργαστήρια να επικουρούν τους σκοπούς της εταιρείας. Αυτό συνιστά διάθεση των εργαζομένων χωρίς συναίνεση και δεν συμφωνούμε. Στην παρ. 4 περ. α αναφέρεται η παραγωγή αντιγράφων και η χρήση μοντέλων από εξωτερικό ανάδοχο, εξέλιξη που συνιστά κίνδυνο για ένα πολύτιμο δημόσιο αγαθό όπως η εξαγωγή μοντέλων ή μητρών από τα εργαστήρια μιας δημόσιας υπηρεσίας. Επίσης δημιουργείται ζήτημα με την εκχώρηση βασικών αρμοδιοτήτων του ΟΔΑΠ στην εταιρεία όπως η κατασκευαστική δραστηριότητα εντός μνημείων, η σύναψη μελετών και έργων τεχνικού χαρακτήρα με ιδιωτικές εταιρείες, καθώς και η διαχείριση ψηφιακών έργων.</w:t>
      </w:r>
    </w:p>
    <w:p/>
    <w:p/>
    <w:p>
      <w:pPr/>
      <w:r>
        <w:rPr/>
        <w:t xml:space="preserve">Άρθρο 7:</w:t>
      </w:r>
    </w:p>
    <w:p/>
    <w:p/>
    <w:p>
      <w:pPr/>
      <w:r>
        <w:rPr/>
        <w:t xml:space="preserve">Ανατίθεται στην εταιρεία η διαχείριση της Ακίνητης Περιουσίας του ΟΔΑΠ. Ουσιαστικά γίνεται πράξη η απόσχιση αυτής της αρμοδιότητας από τον οργανισμό σε συνέχεια των προβλέψεων του Ν. 4551/2018 (για το ΤΑΠ) και του ιδρυτικού Ν. 4761/2020.</w:t>
      </w:r>
    </w:p>
    <w:p/>
    <w:p/>
    <w:p>
      <w:pPr/>
      <w:r>
        <w:rPr/>
        <w:t xml:space="preserve">Άρθρο 16:</w:t>
      </w:r>
    </w:p>
    <w:p/>
    <w:p/>
    <w:p>
      <w:pPr/>
      <w:r>
        <w:rPr/>
        <w:t xml:space="preserve">Συνιστά παραδοξότητα το Υπουργείο Πολιτισμού να κατέχει μόνο το 10% των μετοχών, αλλά να είναι εποπτεύων φορέας της υπό σύσταση ανώνυμης εταιρείας</w:t>
      </w:r>
    </w:p>
    <w:p/>
    <w:p/>
    <w:p>
      <w:pPr/>
      <w:r>
        <w:rPr/>
        <w:t xml:space="preserve">Άρθρο 27:</w:t>
      </w:r>
    </w:p>
    <w:p/>
    <w:p/>
    <w:p>
      <w:pPr/>
      <w:r>
        <w:rPr/>
        <w:t xml:space="preserve">Δεν προβλέπεται κανένα καθεστώς μετάβασης για τους αποφοίτους των ΣΑΕΚ με ειδικότητα «Αντιγραφέας Μνημείων και Εκθεμάτων», η οποία δημιουργήθηκε με γνώμονα την εξυπηρέτηση των σκοπών του ΟΔΑΠ. Οφείλει να υπάρξει ρύθμιση για την κάλυψη των αναγκών της ΑΕ και του ΟΔΑΠ από αποφοίτους της συγκεκριμένης ειδικότητας.</w:t>
      </w:r>
    </w:p>
    <w:p/>
    <w:p>
      <w:pPr/>
      <w:r>
        <w:rPr>
          <w:b w:val="1"/>
          <w:bCs w:val="1"/>
        </w:rPr>
        <w:t xml:space="preserve">ΝΙΚΟΛΑΟΣ ΓΚΙΩΝΗΣ – 19 Ιουλίου 2026, 16:22</w:t>
      </w:r>
    </w:p>
    <w:p>
      <w:pPr/>
      <w:r>
        <w:rPr/>
        <w:t xml:space="preserve">Στο Άρθρο 26 παρ. 2 περ. β, γ και δ αναφέρεται ότι η Ανώνυμη Εταιρεία υπεισέρχεται σε δικαιώματα του ΟΔΑΠ και αναλαμβάνει πάσης φύσεως συμβάσεις (ακόμα και εκκρεμείς) που αφορούν τους σκοπούς της. Είναι αναγκαίο να διασαφηνιστεί η αμεσότητα αυτής της ενέργειας, για να αποφευχθεί περαιτέρω εντατικοποίηση της εργασίας του υποστελεχωμένου ΟΔΑΠ.</w:t>
      </w:r>
    </w:p>
    <w:p/>
    <w:p/>
    <w:p>
      <w:pPr/>
      <w:r>
        <w:rPr/>
        <w:t xml:space="preserve">Ταυτόχρονα, χρειάζεται να ξεκαθαρίσει αν θα αναλάβει τη διευθέτηση ανείσπρακτων οφειλών που αφορούν τους σκοπούς της (ακίνητα, αναψυκτήρια) και με ποια διαδικασία.</w:t>
      </w:r>
    </w:p>
    <w:p/>
    <w:p>
      <w:pPr/>
      <w:r>
        <w:rPr>
          <w:b w:val="1"/>
          <w:bCs w:val="1"/>
        </w:rPr>
        <w:t xml:space="preserve">Σύλλογος Ελλήνων Αρχαιολόγων – 19 Ιουλίου 2026, 19:10</w:t>
      </w:r>
    </w:p>
    <w:p>
      <w:pPr/>
      <w:r>
        <w:rPr/>
        <w:t xml:space="preserve">Η θεσμοθέτηση Ανώνυμης Εταιρείας μετατρέπει τον ΟΔΑΠ σε όχημα ιδιωτικοποίησης των μνημείων και κατασπατάλησης των εσόδων από τους αρχαιολογικούς χώρους και τα μουσεία της χώρας σε αλλότριους σκοπούς. Η ανάθεση όλων σχεδόν των λειτουργιών του ΟΔΑΠ που αφορούν στη διαχείριση αρχαιολογικών χώρων και μουσείων, που δημιουργήθηκαν με χρήματα του ελληνικού λαού (εθνικούς ή κοινοτικούς πόρους) και τον κόπο των εργαζομένων στην Αρχαιολογική Υπηρεσία, συνιστά την πλήρη ιδιωτικοποίησή τους, την υποταγή τους στο πρόσκαιρο κέρδος. Ο πολιτιστικός, κοινωνικός, εκπαιδευτικός, συμπεριληπτικός ρόλος της πολιτιστικής κληρονομιάς, που μάλιστα ορίζεται από το Σύνταγμα της χώρας και τον Αρχαιολογικό Νόμο, παραγκωνίζεται πλήρως και τη θέση τους παίρνουν τα γεύματα, οι δεξιώσεις, η ιδιωτική χρήση και το κέρδος των ολίγων. Η κατεύθυνση του σχεδίου νόμου είναι να γίνει στα μνημεία και τους αρχαιολογικούς χώρους ό,τι έχει συμβεί και με τα νησιά μας: να γίνουν απλησίαστα και αφιλόξενα για τους Έλληνες πολίτες, παραδομένα στο κέρδος, κόντρα σε κάθε λογική αειφορίας.</w:t>
      </w:r>
    </w:p>
    <w:p/>
    <w:p>
      <w:pPr/>
      <w:r>
        <w:rPr/>
        <w:t xml:space="preserve"> https://archaeol.gr/to-tameio-archaiologikon-poron-i-anonymi-etaireia-tou-odap-i-diacheirisi-ton-mnimeion-kai-to-dimosio-symferon/</w:t>
      </w:r>
    </w:p>
    <w:p/>
    <w:p>
      <w:pPr/>
      <w:r>
        <w:rPr/>
        <w:t xml:space="preserve">Αρθρο 1</w:t>
      </w:r>
    </w:p>
    <w:p/>
    <w:p>
      <w:pPr/>
      <w:r>
        <w:rPr/>
        <w:t xml:space="preserve">Οι σκοποί που περιγράφονται θεραπεύονται ήδη από τον ΟΔΑΠ, ως συνέχεια του ΤΑΠ που ιδρύθηκε και λειτουργεί από το 1961, και έχουν ήδη υλοποιηθεί από τον ΟΔΑΠ ως ΝΠΔΔ τα τελευταία χρόνια. Η διαχείριση μνημείων και αρχαιολογικών χώρων δεν έχει μόνον εμπορικό χαρακτήρα, αφού ακόμη και τα πωλητέα είδη αποτελούν την σύνδεση του επισκέπτη με τον αρχαιολογικό χώρο/μνημείο/μουσείο και τη χώρα που επισκέφθηκε, ανάμνηση, εμπειρία και σύνδεση με όλα τα παραπάνω, έχοντας ταυτόχρονα πολιτιστική διάσταση αλλά και διάσταση εξωτερικής πολιτικής. Ο ευτελισμός για την επίτευξη κέρδους το μόνο που θα καταφέρει θα είναι να δυσφημισθούν οι αρχαιολογικοί χώροι, τα μνημεία και τα μουσεία, εν τέλει η ίδια η χώρα ως προορισμός.</w:t>
      </w:r>
    </w:p>
    <w:p/>
    <w:p>
      <w:pPr/>
      <w:r>
        <w:rPr/>
        <w:t xml:space="preserve">Άρθρο 2</w:t>
      </w:r>
    </w:p>
    <w:p/>
    <w:p>
      <w:pPr/>
      <w:r>
        <w:rPr/>
        <w:t xml:space="preserve">Στο υπόλοιπο σχέδιο νόμου δεν περιγράφεται η ΑΕ ως «εκτελεστικός βραχίονας», αλλά ως μια Εταιρεία που υποκαθιστά τον ΟΔΑΠ, την Αρχαιολογική Υπηρεσία, ακόμη και το ΥΠΠΟ. Για παράδειγμα,  στο αμέσως επόμενο άρθρο 3, παρ. στ΄, η ΑΕ αποφασίζει και καταργεί ακόμη και τα λογότυπα των Υπηρεσιών της ΓΔΑΠΚ.</w:t>
      </w:r>
    </w:p>
    <w:p/>
    <w:p>
      <w:pPr/>
      <w:r>
        <w:rPr/>
        <w:t xml:space="preserve">Άρθρο 3</w:t>
      </w:r>
    </w:p>
    <w:p/>
    <w:p>
      <w:pPr/>
      <w:r>
        <w:rPr/>
        <w:t xml:space="preserve">Όλα όσα περιγράφονται εδώ, είτε υπάρχουν ήδη και έχουν δημιουργηθεί ήδη από τον ΟΔΑΠ (λ.χ. ενιαία οπτική ταυτότητα) είτε μπορούν να υλοποιηθούν από τον ΟΔΑΠ χωρίς να χρειάζεται καμία ΑΕ (όπως το ενιαίο εισιτήριο σε ομάδες αρχαιολογικών χώρων, που υπήρχε ήδη επί δεκαετίες και το χειριζόταν το ΤΑΠ και ο ΟΔΑΠ). Ως προς τα προϊόντα αγροτοδιατροφικής αλυσίδας, ορισμένα  έχουν παραχθεί ήδη και δεν πωλήθηκαν λόγω αδιανόητα υψηλής τιμής. Πριν παραχθούν νέα, καλό θα ήταν να δημοσιοποιηθεί πόσο κόστισε, σε ποιες εταιρείες, και πόσα ήταν τα έσοδα από το «λάδι Ολυμπίας» που διαφήμισε το 2021 το Υπουργείο Πολιτισμού https://www.culture.gov.gr/el/Information/SitePages/view.aspx?nID=4019 και ο Πρωθυπουργός.</w:t>
      </w:r>
    </w:p>
    <w:p/>
    <w:p>
      <w:pPr/>
      <w:r>
        <w:rPr/>
        <w:t xml:space="preserve">Είναι απαράδεκτη η φράση “η οποία αντικαθιστά υποχρεωτικά κάθε τυχόν υφιστάμενο στοιχείο σήμανσης ή λογότυπο των Περιφερειακών Υπηρεσιών της ΓΔΑΠΚ”. Μια Ανώνυμη Εταιρεία με εμπορικό σκοπό δεν θα υποκαταστήσει την αρχαιότερη Υπηρεσία του ελληνικού κράτους, την Αρχαιολογική Υπηρεσία, που προστατεύει και διαχειρίζεται με επιστημονικό τρόπο τα μνημεία και τους αρχαιολογικούς χώρους, σύμφωνα με το Σύνταγμα και τον Αρχαιολογικό Νόμο.</w:t>
      </w:r>
    </w:p>
    <w:p/>
    <w:p/>
    <w:p>
      <w:pPr/>
      <w:r>
        <w:rPr/>
        <w:t xml:space="preserve">‘Αρθρο 4</w:t>
      </w:r>
    </w:p>
    <w:p/>
    <w:p>
      <w:pPr/>
      <w:r>
        <w:rPr/>
        <w:t xml:space="preserve">Ο προηγούμενος νόμος που όριζε το ίδιο, σύσταση ΝΠΙΔ με την μορφή της ΑΕ, ήταν ο Ν. 2557/1997, που ίδρυσε τον ΟΠΕΠ ΑΕ. Από το 2004 και εξής, ο ΟΠΕΠ ανέλαβε επίσης να «φέρει έσοδα» στο τότε ΤΑΠ (νυν ΟΔΑΠ). Τελικά, το 2010 ο ΟΠΕΠ τέθηκε σε εκκαθάριση, με έλλειμμα 14 εκ. ευρώ, ενώ τα προηγούμενα χρόνια έπαιρνε επιχορήγηση από το ΝΠΔΔ ΤΑΠ, στερώντας ζωτικής σημασίας πόρους τόσο για τις ανάγκες των μνημείων και την λειτουργία της Αρχαιολογικής Υπηρεσίας όσο και για τον κρατικό προϋπολογισμό. Το όνειδος αυτό επιχειρείται να επαναληφθεί με αυτό το σχέδιο νόμου. </w:t>
      </w:r>
    </w:p>
    <w:p/>
    <w:p>
      <w:pPr/>
      <w:r>
        <w:rPr/>
        <w:t xml:space="preserve">Το άρθρο 4 του σχεδίου νόμου υπάγει τη νέα εταιρεία  στον  ν. 4972/2022 περί εταιρικής διακυβέρνησης. Η προστασία της δημόσιας περιουσίας και της πολιτιστικής κληρονομιάς, που αποτελεί δημόσιο αγαθό το οποίο ανήκει σε όλους τους πολίτες, από την κακοδιαχείριση είναι κατοχυρωμένη από το Σύνταγμα, επομένως κάθε νόμος οφείλει να μην την θέτει σε επισφάλεια με πράξεις ή παραλείψεις.</w:t>
      </w:r>
    </w:p>
    <w:p/>
    <w:p>
      <w:pPr/>
      <w:r>
        <w:rPr/>
        <w:t xml:space="preserve">Η επιλογή της σύστασης μιας τέτοιας ανώνυμης εταιρείας αντικαθιστά σταδιακά το σύστημα δημοσίου θεσμικού ελέγχου με μηχανισμούς εταιρικής διακυβέρνησης, που λειτουργούν με εμπορικούς όρους και νομοτελειακά, όταν αυτοί θα ανταγωνίζονται το Δημόσιο Συμφέρον, δεν θα υπάρχει ανάχωμα προς υπεράσπισή του. Η λογοδοσία παύει να ασκείται πρωτίστως μέσω των θεσμών της Δημόσιας Διοίκησης και μεταφέρεται σε εταιρικά όργανα, όπως το Διοικητικό Συμβούλιο και ο Διευθύνων Σύμβουλος που διορίζονται απευθείας από τον Υπουργό, και σε εξωτερικούς συνεργάτες που θα τους ανατίθεται ο «εσωτερικός έλεγχος» με απευθείας αναθέσεις.</w:t>
      </w:r>
    </w:p>
    <w:p/>
    <w:p>
      <w:pPr/>
      <w:r>
        <w:rPr/>
        <w:t xml:space="preserve">Πρόκειται για θεμελιώδη μεταβολή του τρόπου άσκησης δημόσιας εξουσίας και της διαχείρισης της δημόσιας περιουσίας και της πολιτιστικής κληρονομιάς. Όταν ο θεσμικός  έλεγχος μιας εταιρείας που θα διαχειρίζεται εκατοντάδες εκατομμύρια ευρώ και μαζί το συμβολικό κεφάλαιο της  δημόσιας πολιτιστικής  περιουσίας, αρχαιολογικούς χώρους, μουσεία, ιστορικούς τόπους, δεν ασκείται από τα θεσμικά όργανα και το ΥΠΠΟ, αλλά εντάσσεται στη λογική της εταιρικής διακυβέρνησης, δημιουργείται σοβαρό θεσμικό έλλειμμα και ανοίγει ο δρόμος για την κακοδιαχείριση.</w:t>
      </w:r>
    </w:p>
    <w:p/>
    <w:p/>
    <w:p>
      <w:pPr/>
      <w:r>
        <w:rPr/>
        <w:t xml:space="preserve">Άρθρο 5</w:t>
      </w:r>
    </w:p>
    <w:p/>
    <w:p>
      <w:pPr/>
      <w:r>
        <w:rPr/>
        <w:t xml:space="preserve">Ο αμαρτωλός ΟΠΕΠ ΑΕ, που έκλεισε το 2010 με έλλειμμα 14 εκ.ευρώ, ισχυριζόταν ότι θα βοηθήσει την προβολή των μνημείων χρησιμοποιώντας νέες τεχνολογίες. Σύναψε συμφωνία με τη Siemens για 4.500 ηλεκτρονικούς ξεναγούς σε μνημεία και αρχαιολογικούς χώρους. Οι ηλεκτρονικοί ξεναγοί δεν παραδόθηκαν ποτέ, αν και η προκαταβολή των περίπου 4 εκατ. ευρώ δόθηκε κανονικότατα. Η ιστορία επαναλαμβάνεται ως φάρσα, στις παρ. α, β.</w:t>
      </w:r>
    </w:p>
    <w:p/>
    <w:p>
      <w:pPr/>
      <w:r>
        <w:rPr/>
        <w:t xml:space="preserve">Το ηλεκτρονικό εισιτήριο εγκαταστάθηκε από το ΝΠΔΔ ΤΑΠ/νυν ΟΔΑΠ και δεν χρειάζεται καμία ΑΕ για να λειτουργεί. </w:t>
      </w:r>
    </w:p>
    <w:p/>
    <w:p>
      <w:pPr/>
      <w:r>
        <w:rPr/>
        <w:t xml:space="preserve">Πωλητήρια υπάρχουν σε πάρα πολλούς αρχαιολογικούς χώρους και μουσεία. Κατασκευάστηκαν με πόρους του κρατικού προϋπολογισμού, κοινοτικούς πόρους ( κυρίως ΕΣΠΑ) και, τα τελευταία χρόνια, με πόρους του ΤΑΑ γι’ αυτό και αποτελούν περιουσία του ελληνικού λαού. Αντί να αξιοποιηθεί η κρατική αυτή περιουσία για να προωθηθούν οι μοναδικές δράσεις του ΤΑΠ (εκμαγεία, πωλητέα, εκδόσεις) που αποτελούν από μόνες τους πολιτιστικό είδος με μεγάλη διάδοση και κύρος, το ΔΣ του ΟΔΑΠ παραχωρεί όλην την σχετική υποδομή σε ιδιώτες έναντι χαμηλού ενοικίου, και τους επιτρέπει να διαθέτουν μέσα από τα ίδια πωλητήρια και άλλα προϊόντα, που δεν είναι παραγωγής ΟΔΑΠ. Παραδίδουν, δηλαδή, σε ιδιώτες πωλητήρια και αναψυκτήρια που δεν θα επιτρεπόταν καν να χτιστούν εντός αρχαιολογικού χώρου εάν αυτός δεν ανήκε στη δικαιοδοσία του ΥΠΠΟ και τα κτήρια αυτά δεν λειτουργούσαν ως βοηθητικές εγκαταστάσεις  του αρχαιολογικού χώρου. Επιπλέον, ως κτήρια ανήκοντα στο ΥΠΠΟ, και ευρισκόμενα εντός αρχαιολογικών χώρων, για οποιαδήποτε αντικατάσταση, φθορά κ.λπ. εργασίες, υπεύθυνο είναι το ίδιο το ΥΠΠΟ. Ήδη στη ΔΙΑΥΓΕΙΑ φαίνονται τα κονδύλια που διαθέτει το ΥΠΠΟ για πωλητήριο που έχει παραχωρηθεί σε ιδιώτη.</w:t>
      </w:r>
    </w:p>
    <w:p/>
    <w:p>
      <w:pPr/>
      <w:r>
        <w:rPr/>
        <w:t xml:space="preserve">Τα ζ,η,θ είναι έργο σε εξέλιξη, με χρήματα του Ταμείου Ανάκαμψης: https://www.odap.gr/piraeus-260/ Το ότι το έργο δεν έχει τελειώσει, ενώ το ΤΑΑ ολοκληρώθηκε στις 30/6/2026 είναι ένα μείζον ζήτημα. Το ότι η πολιτική ηγεσία προσπαθεί να αποκρύψει ότι το έργο δεν ολοκληρώθηκε με χρηματοδότηση του ΤΑΑ, δημιουργώντας μια ακόμη “τρύπα”, και το περνά στην ΑΕ για να ολοκληρωθεί με τα χρήματα του ΟΔΑΠ και του κρατικού προϋπολογισμού, είναι μια ακόμη σκανδαλώδης προσπάθεια συγκάλυψης της πραγματικής κατάστασης των έργων στο ΤΑΑ που επέβαλε η πολιτική ηγεσία, με ανέφικτα χρονοδιαγράμματα και υπέρογκους προϋπολογισμούς.</w:t>
      </w:r>
    </w:p>
    <w:p/>
    <w:p>
      <w:pPr/>
      <w:r>
        <w:rPr/>
        <w:t xml:space="preserve">Ως προς το ιβ παραπέμπουμε σε πρόσφατη ανακοίνωσή μας https://archaeol.gr/ta-mnimeia-kai-ta-mouseia-den-einai-fonto-gia-gamilies-dexioseis/</w:t>
      </w:r>
    </w:p>
    <w:p/>
    <w:p>
      <w:pPr/>
      <w:r>
        <w:rPr/>
        <w:t xml:space="preserve">Ως προς το ιγ εδώ και δεκαετίες ιδιώτες έμποροι προσπαθούν να έχουν πρόσβαση στην μοντελοθήκη του ΤΑΠ/νυν ΟΔΑΠ, για να μπορούν να παράγουν ακριβή αντίγραφα, τα οποία αποτελούν κρατική περιουσία του ΥΠΠΟ και του ελληνικού λαού. Στο σημείο αυτό φαίνεται ότι η ΑΕ θα τα παραδώσει μόνη της σε ιδιώτες και θα τους δώσει και άδεια να παράγουν “ακριβή αντίγραφα υπό κλίμακα” (δεν υπάρχει ακριβές αντίγραφο αρχαίου αγάλματος υπό κλίμακα, το υπό κλίμακα αναιρεί το ακριβές αντίγραφο). Όλα στο βωμό του ιδιωτικού κέρδους και εις βάρος των εσόδων του δημοσίου και του ΥΠΠΟ.</w:t>
      </w:r>
    </w:p>
    <w:p/>
    <w:p>
      <w:pPr/>
      <w:r>
        <w:rPr/>
        <w:t xml:space="preserve">Μεγάλη απορία προκαλεί και το σημείο ιε: έχει πράγματι ανάγκη το Υπουργείο Πολιτισμού τις συμβουλές μιας ΑΕ για τον “σχεδιασμό της πολιτικής για την ανάδειξη της πολιτιστικής κληρονομιάς”; Οι Υπηρεσίες του ΥΠΠΟ έχουν εμπειρία δύο αιώνων στην προστασία και ανάδειξη της πολιτιστικής κληρονομιάς, με επιστημονική δεοντολογία και με καινοτόμες δράσεις, οι οποίες έχουν βραβευθεί πολλάκις και στο εξωτερικό. Η Αρχαιολογική Υπηρεσία δεν χρειάζεται κανέναν Διευθύνοντα Σύμβουλο μιας ΑΕ, που δεν ενασχολείται με μνημεία, και δεν διαθέτει το παραμικρό επιστημονικό υπόβαθρο, για “συμβουλές”. Το σημείο αυτό είναι ενδεικτικό ότι αυτή η ΑΕ δημιουργείται με σκοπό να παρακάμψει την αρμόδια Αρχαιολογική Υπηρεσία στην προστασία και διαχείριση των μνημείων και των αρχαιολογικών χώρων. </w:t>
      </w:r>
    </w:p>
    <w:p/>
    <w:p>
      <w:pPr/>
      <w:r>
        <w:rPr/>
        <w:t xml:space="preserve">Άρθρο 6</w:t>
      </w:r>
    </w:p>
    <w:p/>
    <w:p>
      <w:pPr/>
      <w:r>
        <w:rPr/>
        <w:t xml:space="preserve">Χαρακτηριστικό στο πώς η ΑΕ συστήνεται για να αποσπάσει αρμοδιότητες από την Αρχαιολογική Υπηρεσία του ΥΠΠΟ είναι και το σημείο “έχει την ευθύνη για τον σχεδιασμό, την υλοποίηση και την παροχή κάθε είδους υπηρεσίας που αφορά στην πρόσβαση και στην επίσκεψη σε αρχαιολογικούς χώρους, ιστορικούς τόπους, μνημεία και μουσεία”. Εδώ, όπως και σε άλλα σημεία, η ΑΕ συστήνεται για να υποκαταστήσει και να υφαρπάξει το έργο του ΥΠΠΟ, κάτι που απαγορεύεται από το Σύνταγμα και τον Αρχαιολογικό Νόμο. Χαρακτηριστικά ως προς αυτό είναι και τα σημεία που αναφέρονται στην ΑΕ ως τελικό δικαιούχο έργων ΕΣΠΑ, και ως ισότιμο εταίρο σε Συμβάσεις Πολιτιστικής Ανάπτυξης με δήμους (αρμοδιότητα του ΥΠΠΟ).</w:t>
      </w:r>
    </w:p>
    <w:p/>
    <w:p>
      <w:pPr/>
      <w:r>
        <w:rPr/>
        <w:t xml:space="preserve">Αντίστοιχα και αυτά που αναφέρονται στην παράγραφο ζ: η ΑΕ “μισθώνει ακίνητα, εκμισθώνει και παραχωρεί με κάθε συμβατική μορφή τη χρήση της ακίνητης περιουσίας, ενεργώντας στο όνομα και για λογαριασμό του ΟΔΑΠ ή του Υπουργείου Πολιτισμού”.</w:t>
      </w:r>
    </w:p>
    <w:p/>
    <w:p>
      <w:pPr/>
      <w:r>
        <w:rPr/>
        <w:t xml:space="preserve">Στο σημειο 4α διευκρινίζεται ότι και το προσωπικό του ΟΔΑΠ (υπαλληλοι του ΝΠΔΔ) θα εργάζονται για την ΑΕ!</w:t>
      </w:r>
    </w:p>
    <w:p/>
    <w:p>
      <w:pPr/>
      <w:r>
        <w:rPr/>
        <w:t xml:space="preserve">Ενδεικτικό για το πώς βλέπει η ηγεσία του ΥΠΠΟ την πολιτιστική κληρονομιά σήμερα είναι και το 4δ “σχεδιάζει και υλοποιεί ολοκληρωμένη εμπορική πολιτική για την αξιοποίηση του πολιτιστικού αποθέματος”. Στην ίδια παράγραφο αναφέρονται “συνεργάτες ή φορείς της Εταιρείας”. Άρα η Εταιρεία θα μπορεί να έχει συνεργάτες ή να συστήνει άλλους φορείς στους οποίους θα αναθέτει τα μνημεία και τα μουσεία!</w:t>
      </w:r>
    </w:p>
    <w:p/>
    <w:p>
      <w:pPr/>
      <w:r>
        <w:rPr/>
        <w:t xml:space="preserve">Αναλαμβάνοντας την αρμοδιότητα των “ψηφιακών ξεναγών”, η ΑΕ ουσιαστικά αναλαμβάνει ρόλο στον αρχαιολογικό λόγο και την διαχείριση της αφήγησης για τα μνημεία και τους αρχαιολογικούς χώρους. Ο ερμηνευτικός λόγος περί των μνημείων είναι μια επιστημονική εργασία, πρωτίστως αρχαιολογική, και αποτελεί αρμοδιότητα και υποχρέωση της Αρχαιολογικής Υπηρεσίας και των ανασκαφέων των μνημείων. Το προηγούμενο διάστημα, άλλωστε, είδαμε το σκάνδαλο ο ΟΔΑΠ να αναθέτει κείμενα για αρχαιολογικούς χώρους (για το site hh.gr) σε “εξωτερικούς συνεργάτες”, οι οποίοι τελικά πληρώθηκαν αφειδώς ενώ απλώς αντέγραψαν κείμενα που είχαν ήδη γραφτεί (χωρίς καμία έξτρα πληρωμή), από τους αρχαιολόγους των Εφορειών Αρχαιοτήτων! Η ΑΕ θα προχωρήσει σε απευθείας αναθέσεις σε “αρεστούς” για να παραχθεί ένας εμπορικός λόγος για τα μνημεία. Θα ξοδευτούν χρήματα των μνημείων για να ξαναγραφτεί η ιστορία τους με μη επιστημονικά κριτήρια.</w:t>
      </w:r>
    </w:p>
    <w:p/>
    <w:p>
      <w:pPr/>
      <w:r>
        <w:rPr/>
        <w:t xml:space="preserve">Τέλος, οι παράγραφοι 6 και 7 περιγράφουν την λεηλασία των πόρων των μνημείων. Η Εταιρεία αυτή τύποις θα εισπράττει έσοδα για λογαριασμό του ΟΔΑΠ (δηλαδή του Δημοσίου). Στην πραγματικότητα, αυτό είναι απολύτως ψευδεπίγραφο, με σκοπό να μην γίνει φανερό ότι εκατομμύρια ευρώ θα εισπράττονται από την ΑΕ και θα σπαταλώνται από την ΑΕ σε απευθείας αναθέσεις, σε άχρηστα, αμφιλεγόμενα έργα, σε διαφημίσεις, σε συμβουλευτικές υπηρεσίες, με εντολές της εκάστοτε πολιτικής ηγεσίας, χωρίς κανέναν έλεγχο και υπαγωγή στο δημόσιο λογιστικό. Αυτό γίνεται σαφές από το ίδιο το σχέδιο νόμου που δίνει υπερεξουσίες στο ΔΣ της ΑΕ και στον Διευθύνοντα Σύμβουλο, ενώ αναγκάζει τον ΟΔΑΠ να καταβάλει ετησίως από τα έσοδα των μνημείων στην Εταιρεία τα λειτουργικά της έξοδα (προκαταβάλλοντας το 80% αυτών εντός του πρώτου διμήνου κάθε έτους, άρθρο 17, παρ. 2), προκαταβάλλοντας στην Εταιρεία κάθε χρόνο «διαχειριστικό κόστος» το ύψος του οποίου το καθορίζει ουσιαστικά το ΔΣ της Εταιρείας (άρθρο 6 παρ. 8), ενώ προβλέπεται η Εταιρεία να παίρνει και έκτακτες επιχορηγήσεις από τον ΟΔΑΠ (άρθρο 17, παρ. 1), καθώς και τακτική και έκτακτη επιχορήγηση από τον κρατικό προϋπολογισμό και το Πρόγραμμα Δημοσίων Επενδύσεων (άρθρο 17, παρ 1).</w:t>
      </w:r>
    </w:p>
    <w:p/>
    <w:p>
      <w:pPr/>
      <w:r>
        <w:rPr/>
        <w:t xml:space="preserve">Άρθρο 9</w:t>
      </w:r>
    </w:p>
    <w:p/>
    <w:p>
      <w:pPr/>
      <w:r>
        <w:rPr/>
        <w:t xml:space="preserve">Στο σημείο αυτό αρκεί να υπενθυμίσουμε ότι τα Μουσεία ΝΠΔΔ του Ν. 5021/2023, συνεχίζουν 3 χρόνια μετά να διοικούνται από ΔΣ που έχουν τοποθετηθεί με μόνη απόφαση της Υπουργού Πολιτισμού και κανένα άλλο κριτήριο. Παρά τις διαβεβαιώσεις ότι θα γίνουν διαγωνισμοί για τους Προέδρους και τους Αντιπροέδρους, μέσω ΑΣΕΠ, κι ενώ ο διαγωνισμός είχε ολοκληρωθεί, το Υπουργείο Πολιτισμού αντί να τοποθετήσει τους επιλεγέντες, φρόντισε να αλλάξει το νόμο, καταργώντας τον διαγωνισμό! Με βάση το άρθρο 16 του Ν. 5271/2026, οι εποπτευόμενοι φορείς του ΥΠΠΟ εξαιρούνται από τον τρόπο επιλογής μέσω ΑΣΕΠ και επιλέγονται από μια επιτροπή την οποία επιλέγει με δικά του κριτήρια ο Υπουργός Πολιτισμού. Τα φωτογραφικά και κομματικά κριτήρια των εν λόγω επιλογών είναι προφανή. Το ΥΠΠΟ με αυτό το σχέδιο νόμου υποθηκεύει την κρατική περιουσία του ελληνικού λαού, τα μνημεία και την πολιτιστική κληρονομιά, για 50 χρόνια, δίνοντάς την σε μια Εταιρεία η Διοίκηση της οποίας τοποθετείται με κομματικά κριτήρια.</w:t>
      </w:r>
    </w:p>
    <w:p/>
    <w:p>
      <w:pPr/>
      <w:r>
        <w:rPr/>
        <w:t xml:space="preserve">Όταν το Υπουργείο Πολιτισμού αναγνώριζε την σημασία του Ταμείου και της ανακατανομής των αρχαιολογικών πόρων για τις ανάγκες των μνημείων και ήθελε να εξασφαλίσει ότι δεν θα υπάρχει καμία κακοδιαχείριση στα εκατομμύρια που αποτελούν δημόσια περιουσία, το ΔΣ του ΤΑΠ είχε την εξής σύνθεση: Ως πρόεδρο έναν Αρεοπαγίτη. Ως μέλος και εισηγητή τον Προϊστάμενο της Υπηρεσίας Αρχαιοτήτων. Ως μέλη έναν καθηγητή αρχαιολογίας, έναν ανώτερο υπάλληλο του Γενικού Λογιστηρίου του Κράτους (Γενική Διεύθυνση Δημοσίου Λογιστικού), τον Διευθυντή του Εθνικού Αρχαιολογικού Μουσείου, τον Έφορο Ακροπόλεως  και έναν καθηγητή της Αρχιτεκτονικής. Οποιαδήποτε σύγκριση με αυτό το σχέδιο νόμου απλώς αναδεικνύει τους πραγματικούς στόχους της νυν πολιτικής ηγεσίας.</w:t>
      </w:r>
    </w:p>
    <w:p/>
    <w:p>
      <w:pPr/>
      <w:r>
        <w:rPr/>
        <w:t xml:space="preserve">Άρθρο 10</w:t>
      </w:r>
    </w:p>
    <w:p/>
    <w:p>
      <w:pPr/>
      <w:r>
        <w:rPr/>
        <w:t xml:space="preserve">Εντύπωση προκαλεί στο άρθρο αυτό ότι δεν ακολουθείται η διατύπωση του άρθρου 59 του ίδιου σχεδίου νόμου, για την εξαίρεση των συζύγων, συμβιούντων και συγγενών των μελών ΔΣ από συμβάσεις με την εταιρεία και η παντελής απουσία αναφοράς στον Ν. 4356/2015</w:t>
      </w:r>
    </w:p>
    <w:p/>
    <w:p>
      <w:pPr/>
      <w:r>
        <w:rPr/>
        <w:t xml:space="preserve">Για τις συνεχείς φωτογραφικές ρυθμίσεις του ΥΠΠΟ βλ και εδώ https://archaeol.gr/schetika-me-to-arthro-111-mia-akomi-tropopoiisi-tou-nomou-5021/</w:t>
      </w:r>
    </w:p>
    <w:p/>
    <w:p/>
    <w:p>
      <w:pPr/>
      <w:r>
        <w:rPr/>
        <w:t xml:space="preserve">Άρθρο 11 </w:t>
      </w:r>
    </w:p>
    <w:p/>
    <w:p>
      <w:pPr/>
      <w:r>
        <w:rPr/>
        <w:t xml:space="preserve">Οι υπερεξουσίες της ΑΕ είναι σαφείς και σε μια άλλη ρύθμιση: τα άρθρα 4 έως 24 του σχεδίου νόμου, όπως εισάγονται στην Βουλή για ψήφιση, ισχύουν μέχρι να αποφασιστεί από την ίδια την Εταιρεία το Καταστατικό της (άρθρο 4 παρ. 6). Βασικές διατάξεις  όπως οι αρμοδιότητες της εταιρείας, ο τρόπος διαχείρισης των εσόδων, οι θέσεις εργασίας, οι αποδοχές των στελεχών, μπορούν να αλλάξουν από το ίδιο του ΔΣ της εταιρείας. Απορεί κανείς ποιος ο λόγος να σέρνεται η Βουλή σε ψήφιση ενός νόμου μέσα στο καλοκαίρι, όταν τα αναφερόμενα στο νόμο αυτό μπορούν να αλλάξουν ή να καταργηθούν με μόνη απόφαση ενός ΔΣ διορισμένου από την Υπουργό Πολιτισμού.</w:t>
      </w:r>
    </w:p>
    <w:p/>
    <w:p>
      <w:pPr/>
      <w:r>
        <w:rPr/>
        <w:t xml:space="preserve">Πρόκειται για μια προκλητική ενέργεια, τόσο από άποψη συνταγματική, όσο και από άποψη δημοσίων εσόδων, μακριά από κάθε έννοια δημοσίου συμφέροντος. Τα σκάνδαλα  του ΟΠΕΠ ΑΕ που έκλεισε μετά τη διασπάθιση εκατομμυρίων ευρώ του ελληνικού λαού, αλλά και  του Οργανισμού Πολιτιστικής Πρωτεύουσας Θεσσαλονίκης 1997, αποτελούν εύγλωττα παραδείγματα! Ακόμη και τότε όμως ουδείς σκέφτηκε  να παραδώσει στον αμαρτωλό ΟΠΕΠ και τα έσοδα  από τα εισιτήρια των αρχαιολογικών χώρων και μουσείων.</w:t>
      </w:r>
    </w:p>
    <w:p/>
    <w:p>
      <w:pPr/>
      <w:r>
        <w:rPr/>
        <w:t xml:space="preserve">Άρθρο 17</w:t>
      </w:r>
    </w:p>
    <w:p/>
    <w:p>
      <w:pPr/>
      <w:r>
        <w:rPr/>
        <w:t xml:space="preserve">Θα φέρει η ΑΕ έσοδα στο Δημόσιο; Η Εταιρεία αυτή τύποις θα εισπράττει έσοδα για λογαριασμό του ΟΔΑΠ (δηλαδή του Δημοσίου). Στην πραγματικότητα, αυτό είναι απολύτως ψευδεπίγραφο, με σκοπό να μην γίνει φανερό ότι εκατομμύρια ευρώ θα εισπράττονται από την ΑΕ και θα σπαταλώνται από την ΑΕ σε απευθείας αναθέσεις, σε άχρηστα ή αμφιλεγόμενα έργα, σε διαφημίσεις, σε συμβουλευτικές υπηρεσίες, με εντολές της εκάστοτε πολιτικής ηγεσίας, χωρίς κανέναν έλεγχο και χωρίς να υπάγονται στο δημόσιο λογιστικό. Αυτό γίνεται σαφές από το ίδιο το σχέδιο νόμου που δίνει υπερεξουσίες στο ΔΣ της ΑΕ και στον Διευθύνοντα Σύμβουλο, ενώ αναγκάζει τον ΟΔΑΠ να καταβάλει ετησίως από τα έσοδα των μνημείων στην Εταιρεία τα λειτουργικά της έξοδα (προκαταβάλλοντας το 80% αυτών εντός του πρώτου διμήνου κάθε έτους, άρθρο 17 παρ. 2), προκαταβάλλοντας στην Εταιρεία κάθε χρόνο «διαχειριστικό κόστος» το ύψος του οποίου το καθορίζει ουσιαστικά το ΔΣ της Εταιρείας (άρθρο 6 παρ. 8), ενώ προβλέπεται η Εταιρεία να παίρνει και έκτακτες επιχορηγήσεις από τον ΟΔΑΠ (άρθρο 17, παρ. 1), καθώς και τακτική και έκτακτη επιχορήγηση από τον κρατικό προϋπολογισμό και το Πρόγραμμα Δημοσίων Επενδύσεων (άρθρο 17, παρ 1). Τα έσοδα των μνημείων και των μουσείων, δηλαδή η περιουσία του ελληνικού λαού λεηλατούνται και υποθηκεύονται για 50 χρονια μέσω αυτής της ΑΕ.</w:t>
      </w:r>
    </w:p>
    <w:p/>
    <w:p>
      <w:pPr/>
      <w:r>
        <w:rPr/>
        <w:t xml:space="preserve">Άρθρο 18</w:t>
      </w:r>
    </w:p>
    <w:p/>
    <w:p>
      <w:pPr/>
      <w:r>
        <w:rPr/>
        <w:t xml:space="preserve">Ο θεσμικός έλεγχος δεν είναι “παροχή υπηρεσιών με απευθείας αναθέσεις”, δεν μπορεί να υποβιβάζεται σε τεχνικούς ελέγχους εξωτερικών συνεργατών με κάθε επισφάλεια για το Δημόσιο Συμφέρον, ούτε να αποδυναμώνεται μετακυλίοντας  τα καθήκοντα και την θεσμική ευθύνη δημοσίων υπαλλήλων που έχουν ορκιστεί στο Σύνταγμα, σε ανεξάρτητους νομικούς Συμβούλους Ανωνύμων εταιρειών ή Ορκωτούς Λογιστές. Ορκωτούς λογιστές είχε και ο ΟΠΕΠ ΑΕ, που έκλεισε για να εκκαθαριστεί με 14 εκ. ευρώ ζημία, όπως και το Ταμείο Αλληλοβοήθειας Υπαλλήλων ΥΠΠΟ που κατέληξε σε σκάνδαλο διασπάθισης χρήματος του πρώην ΤΑΠ, και επίσης βρίσκεται σε (αενάως παρατεινόμενη) εκκαθάριση. </w:t>
      </w:r>
    </w:p>
    <w:p/>
    <w:p>
      <w:pPr/>
      <w:r>
        <w:rPr/>
        <w:t xml:space="preserve">Άρθρο 19</w:t>
      </w:r>
    </w:p>
    <w:p/>
    <w:p>
      <w:pPr/>
      <w:r>
        <w:rPr/>
        <w:t xml:space="preserve">Είναι χαρακτηριστικό το σημείο 3γ, με το οποίο γίνεται γνωστό ότι η ΑΕ θα συντάσσει σχέδια νομοθετικών ρυθμίσεων και κανονιστικών πράξεων για την υποβολή τους στο Υπουργείο Πολιτισμού, υποκαθιστώντας τις αρμόδιες Υπηρεσίες του ΥΠΠΟ, που είναι επιφορτισμένες με αυτές τις αρμοδιότητες.</w:t>
      </w:r>
    </w:p>
    <w:p/>
    <w:p>
      <w:pPr/>
      <w:r>
        <w:rPr/>
        <w:t xml:space="preserve">Άρθρο 20</w:t>
      </w:r>
    </w:p>
    <w:p/>
    <w:p>
      <w:pPr/>
      <w:r>
        <w:rPr/>
        <w:t xml:space="preserve">Παρότι το Οργανόγραμμα που η ίδια κυβέρνηση ψήφισε προέβλεπε 300 οργανικές θέσεις στον ΟΔΑΠ, ουδέποτε αυτές καλύφθηκαν. Προτιμήθηκαν οι απευθείας αναθέσεις σε ιδιωτικές εταιρείες (ακόμη και για τη μισθοδοσία), η πρόσληψη συμβασιούχων σε έργα, η ανάθεση σε ιδιώτες των εισιτηρίων και των πωλητηρίων, ώστε τον τελευταίο χρόνο ακόμη και το έκτακτο προσωπικό να μην προσλαμβάνεται πια από το Δημόσιο, με κριτήρια ΑΣΕΠ και δικαιώματα, αλλά από τους ιδιώτες αναδόχους. Τις περισσότερες μάλιστα φορές οι ιδιώτες ανάδοχοι δρουν ανεξέλεγκτα, όπως έχει συμβεί με τα αναψυκτήρια που παρότι ο ανάδοχος ήταν υποχρεωμένος να τα έχει ανοιχτά όλο το χρόνο, τελικά τα «μη κερδοφόρα» από αυτά, τα κρατά κλειστά, χωρίς να έχει καταγγελθεί η σύμβασή του. Φαίνεται ότι ούτε αυτά, ούτε οι μεγάλοι διαγωνισμοί με έναν υποψήφιο, ούτε τα υπερκοστολογημένα έργα του ΤΑΑ που έφερε σε πέρας ο ΟΔΑΠ με υπερπροσπάθεια του προσωπικού του, δεν αρκούσαν στην κυβέρνηση. Ένα διορισμένο ΔΣ, χωρίς κανέναν δημόσιο έλεγχο υποκαθιστά το έργο του ΝΠΔΔ ΟΔΑΠ (τον οποίο συρρικνώνει μέχρις εξαφανίσεως), αλλά και της Αρχαιολογικής Υπηρεσίας και του ίδιου του Υπουργείου Πολιτισμού, με αναθέσεις σε ιδιώτες ή σε συμβουλευτικές εταιρείες, με εναλλασσόμενο προσωπικό χωρίς εργασιακά δικαιώματα, με συμβάσεις έργου. Τα άρθρα 20 και 21 περιγράφουν πελατειακές/φωτογραφικές αναθέσεις και προσλήψεις.</w:t>
      </w:r>
    </w:p>
    <w:p/>
    <w:p>
      <w:pPr/>
      <w:r>
        <w:rPr/>
        <w:t xml:space="preserve">Άρθρο 23</w:t>
      </w:r>
    </w:p>
    <w:p/>
    <w:p>
      <w:pPr/>
      <w:r>
        <w:rPr/>
        <w:t xml:space="preserve">Διαχειριστές εσόδων και ταμίες στην πλειονότητα των αρχαιολογικών χώρων και μουσείων σε όλη τη χώρα είναι υπάλληλοι του ΥΠΠΟ και του ΟΔΑΠ. Στο σημείο αυτό μαθαίνουμε ότι το έργο αυτό θα ανατεθεί σε υπαλλήλους της ΑΕ. </w:t>
      </w:r>
    </w:p>
    <w:p/>
    <w:p>
      <w:pPr/>
      <w:r>
        <w:rPr/>
        <w:t xml:space="preserve">Άρθρο 24</w:t>
      </w:r>
    </w:p>
    <w:p/>
    <w:p>
      <w:pPr/>
      <w:r>
        <w:rPr/>
        <w:t xml:space="preserve">Τα άρθρα 4 έως 24 του σχεδίου νόμου, όπως εισάγονται στην Βουλή για ψήφιση, ισχύουν μέχρι να αποφασισθεί από την ίδια την Εταιρεία το Καταστατικό της (άρθρο 4 παρ. 6). Βασικές διατάξεις  όπως οι αρμοδιότητες της εταιρείας, ο τρόπος διαχείρισης των εσόδων, οι θέσεις εργασίας, οι αποδοχές των στελεχών, μπορούν να αλλάξουν από το ίδιο του ΔΣ της εταιρείας. Απορεί κανείς ποιος ο λόγος να σέρνεται η Βουλή σε ψήφιση ενός νόμου μέσα στο καλοκαίρι, όταν τα αναφερόμενα στο νόμο αυτό μπορούν να αλλάξουν ή να καταργηθούν με την απόφαση ενός ΔΣ διορισμένου από την Υπουργό Πολιτισμού.</w:t>
      </w:r>
    </w:p>
    <w:p/>
    <w:p>
      <w:pPr/>
      <w:r>
        <w:rPr/>
        <w:t xml:space="preserve">Άρθρο 25</w:t>
      </w:r>
    </w:p>
    <w:p/>
    <w:p>
      <w:pPr/>
      <w:r>
        <w:rPr/>
        <w:t xml:space="preserve">Οι αρχαιολογικοί χώροι, τα μουσεία, τα μνημεία, τα πωλητήρια, τα αναψυκτήρια, η μοντελοθήκη, η περιουσία του ΟΔΑΠ και του ΥΠΠΟ, αποτελούν δημόσια περιουσία, περιουσία του ελληνικού λαού. Με το παρόν σχέδιο νόμου υποθηκεύονται για 50+50 χρόνια σε μια ΑΕ στα πρότυπα του Υπερταμείου. </w:t>
      </w:r>
    </w:p>
    <w:p/>
    <w:p>
      <w:pPr/>
      <w:r>
        <w:rPr/>
        <w:t xml:space="preserve">Αρθρο 26</w:t>
      </w:r>
    </w:p>
    <w:p/>
    <w:p>
      <w:pPr/>
      <w:r>
        <w:rPr/>
        <w:t xml:space="preserve">Είναι χαρακτηριστικό ότι η “απογραφή” ισχύει μόνο με την υπογραφή του ΑΤΠΑΠ του ΟΔΑΠ. Πρόκειται για το Τμήμα που έχει πρωτοστατήσει στην ιδιωτικοποίηση, την εμπορευματοιποίηση και τις απευθείας αναθέσεις και πρόκειται να στελεχώσει και την ΑΕ. </w:t>
      </w:r>
    </w:p>
    <w:p/>
    <w:p>
      <w:pPr/>
      <w:r>
        <w:rPr/>
        <w:t xml:space="preserve">Άρθρο 27</w:t>
      </w:r>
    </w:p>
    <w:p/>
    <w:p>
      <w:pPr/>
      <w:r>
        <w:rPr/>
        <w:t xml:space="preserve">Με την παράγραφο 3 πληροφορούμαστε ότι, μέχρι να στελεχωθεί η ΑΕ, την διοικητική και οικονομική υποστήριξή της θα αναλάβουν οι Υπηρεσίες του ΥΠΠΟ! Θα επιβαρυνθούν Υπηρεσίες του ΥΠΠΟ με ένα επιπλέον καθήκον. Στην παράγραφο 7 επίσης, το ΥΠΠΟ θα έρθει να καλύψει και τα κενά προσωπικού της ΑΕ. Ταυτόχρονα, ο ΟΔΑΠ είναι υποχρεωμένος (παρ. 8) να προκαταβάλει 3 εκατομμύρια ευρώ ως “εφάπαξ επιχορήγηση”, εκτός από τα 3 εκατομμύρια ευρώ που προβλέπονται στο άρθρο 16 να καταβληθούν από το Δημόσιο ως μετοχικό κεφάλαιο, και χωριστά από την τακτική επιχορήγηση και τα λειτουργικά έξοδα που είναι υποχρεωμένος, επίσης, να καταβάλλει ο ΟΔΑΠ, από τα έσοδα των μνημείων και των μουσείων.</w:t>
      </w:r>
    </w:p>
    <w:p/>
    <w:p>
      <w:pPr/>
      <w:r>
        <w:rPr/>
        <w:t xml:space="preserve">Την ίδια στιγμή ο ΟΔΑΠ δεν έχει καταβάλει τις αποζημιώσεις σε χιλιάδες πολίτες που η περιουσία τους έχει απαλλοτριωθεί για αρχαιολογικούς σκοπούς. Με αυτά τα χρήματα θα μπορούσαν να εξοφληθούν όλες οι υποχρεώσεις του ΟΔΑΠ προς τους πολίτες.</w:t>
      </w:r>
    </w:p>
    <w:p/>
    <w:p>
      <w:pPr/>
      <w:r>
        <w:rPr>
          <w:b w:val="1"/>
          <w:bCs w:val="1"/>
        </w:rPr>
        <w:t xml:space="preserve">Ο*** – 19 Ιουλίου 2026, 22:17</w:t>
      </w:r>
    </w:p>
    <w:p>
      <w:pPr/>
      <w:r>
        <w:rPr/>
        <w:t xml:space="preserve">Ο Πολιτισμός πρέπει να εκσυγχρονίζεται και να προωθείται, να μελετάται και να μεταδίδεται απο όλους προς όλους!!! Τα σχέδια της νέας εταιρείας Hellenic Heritage Α.Ε. περιλαμβάνουν το σύνολο του αντικειμένου παραγωγής μητρών, εκμαγείων, φυσικών και ψηφιακών μοντέλων και πιστοποιημένων αντιγράφων πολιτιστικών αγαθών. Δεν υπάρχουν μέσα στα σχέδια αυτά οι απόφοιτοι της ειδικότητας " Αντιγραφέας Μνημείων και Εκθεμάτων" η οποία δημιουργήθηκε απο τον ΟΔΑΠ με σκοπό την εκπαίδευση εξειδικευμένου προσωπικού για τις ανάγκες των εργαστηρίων αυτών. Η ειδικότητα αυτή ιδρύθηκε με ρήτή δημόσια δήλωση του Υπουργείου Πολιτισμού οτι αποσκοπεί στην εκπαίδευση πιστοποιημένων τεχνικών για τα εργαστήρια του ΟΔΑΠ. Συνεπώς, η απουσία οποιασδήποτε πρόβλεψης για τους αποφοίτους αυτούς δημιουργεί θεσμικό κενό και αντίκειται στην αρχή της διοικητικής συνέχειας και της χρηστής διοίκησης , ιδίως όταν η Πολιτεία έχει υλοποιήσει δημόσια πολιτική που παράγει έννομα συμφέροντα. Η Πολιτεία σχεδίασε, ανακοίνωσε, υλοποίησε και τώρα θα πρέπει να διασφαλίσει οτι η εξειδικευμένη τεχνογνωσία όπως αυτή των "Αντιγραφεων Μνημείων και Εκθεμάτων", η οποία βασίζεται τόσο στις παραδοσιακές τεχνικές όσο και στις σύγχρονες ψηφιακές μεθόδους 3D, θα πρέπει να υπάρχει διότι είναι σημαντική και απαραίτητη, κατα τη μετάβαση στο νέο φορέα και όχι να χαθεί έτσι άσκοπα.</w:t>
      </w:r>
    </w:p>
    <w:p/>
    <w:p>
      <w:pPr/>
      <w:r>
        <w:rPr>
          <w:b w:val="1"/>
          <w:bCs w:val="1"/>
        </w:rPr>
        <w:t xml:space="preserve">Κ** – 19 Ιουλίου 2026, 23:49</w:t>
      </w:r>
    </w:p>
    <w:p>
      <w:pPr/>
      <w:r>
        <w:rPr/>
        <w:t xml:space="preserve">Σχόλιο επί του άρθρου 27 – Μεταβατικές Διατάξεις</w:t>
      </w:r>
    </w:p>
    <w:p/>
    <w:p>
      <w:pPr/>
      <w:r>
        <w:rPr/>
        <w:t xml:space="preserve">Αναγκαία μεταβατική πρόβλεψη για τους αποφοίτους της Σ.Α.Ε.Κ. «Αντιγραφέας Μνημείων και Εκθεμάτων»</w:t>
      </w:r>
    </w:p>
    <w:p/>
    <w:p/>
    <w:p>
      <w:pPr/>
      <w:r>
        <w:rPr/>
        <w:t xml:space="preserve">Το υπό διαβούλευση σχέδιο νόμου ιδρύει τη νέα εταιρεία «Οργανισμός Ανάπτυξης και Διαχείρισης Ελληνικής Πολιτιστικής Κληρονομιάς Α.Ε. (Hellenic Heritage)», στην οποία μεταφέρεται το αντικείμενο των εργαστηρίων παραγωγής μητρών, εκμαγείων, φυσικών και ψηφιακών μοντέλων και πιστοποιημένων αντιγράφων πολιτιστικών αγαθών.</w:t>
      </w:r>
    </w:p>
    <w:p/>
    <w:p>
      <w:pPr/>
      <w:r>
        <w:rPr/>
        <w:t xml:space="preserve">Κι ενώ το σχέδιο νόμου ρυθμίζει λεπτομερώς τη μεταφορά αρμοδιοτήτων, συμβάσεων και περιουσίας, δεν περιλαμβάνει καμία μεταβατική πρόβλεψη για τους αποφοίτους της μοναδικής δημόσιας ειδικότητας που δημιουργήθηκε αποκλειστικά για την κάλυψη αυτών ακριβώς των αναγκών και που ο ίδιος ο Οδαπ δημιούργησε και στήριξε.</w:t>
      </w:r>
    </w:p>
    <w:p/>
    <w:p>
      <w:pPr/>
      <w:r>
        <w:rPr/>
        <w:t xml:space="preserve">Στις 11 Αυγούστου 2021, κατά την επίσημη παρουσίαση της νέας ειδικότητας από το Υπουργείο Πολιτισμού, η Υπουργός Πολιτισμού κα Λίνα Μενδώνη δήλωσε ότι η ίδρυση της Σ.Α.Ε.Κ. «Αντιγραφέας Μνημείων και Εκθεμάτων» είχε ως σκοπό την εκπαίδευση πιστοποιημένων τεχνιτών για τα εργαστήρια του ΟΔΑΠ και ότι οι απόφοιτοι θα μπορούν να αξιοποιηθούν από τον Οργανισμό.</w:t>
      </w:r>
    </w:p>
    <w:p/>
    <w:p>
      <w:pPr/>
      <w:r>
        <w:rPr/>
        <w:t xml:space="preserve">Ανταποκρινόμενοι σε αυτή την πρωτοβουλία της Πολιτείας, ολοκληρώσαμε επιτυχώς τον διετή κύκλο σπουδών με Άριστα, αποκτήσαμε Βεβαίωση Επαγγελματικής Κατάρτισης και αναμένουμε την πιστοποίηση μας από τον ΕΟΠΠΕΠ.</w:t>
      </w:r>
    </w:p>
    <w:p/>
    <w:p>
      <w:pPr/>
      <w:r>
        <w:rPr/>
        <w:t xml:space="preserve">Το πιο σημαντικό όλων είναι ότι οι σπουδαστές δεν ήταν νέοι χωρίς επαγγελματική εμπειρία, αλλά ενεργοί εικαστικοί και συντηρητές έργων τέχνης με πτυχία , μεταπτυχιακά και χρόνια προϋπηρεσίας στον Οδαπ. Με απλά λόγια το επιστημονικό προσωπικό  που επί δεκαετίες αξιοποιούσαν ο ΤΑΠ, το ΤΑΠΑ και στη συνέχεια ο ΟΔΑΠ στα εργαστήρια παραγωγής εκμαγείων και αντιγράφων.</w:t>
      </w:r>
    </w:p>
    <w:p/>
    <w:p>
      <w:pPr/>
      <w:r>
        <w:rPr/>
        <w:t xml:space="preserve">Η Πολιτεία δεν επένδυσε στη δημιουργία μιας γενικής ειδικότητας αλλά επέλεξε να εξειδικεύσει επαγγελματίες σε ένα αντικείμενο που η ίδια αναγνώρισε ως αναγκαίο για τη διαφύλαξη και ανάδειξη της πολιτιστικής κληρονομιάς.</w:t>
      </w:r>
    </w:p>
    <w:p/>
    <w:p>
      <w:pPr/>
      <w:r>
        <w:rPr/>
        <w:t xml:space="preserve">Σήμερα, το αντικείμενο αυτό όχι μόνο δεν καταργείται, αλλά μεταφέρεται και ενισχύεται μέσω της νέας εταιρείας. Παρ' όλα αυτά, δεν υπάρχει καμία πρόβλεψη για τους ανθρώπους που εκπαιδεύτηκαν ειδικά για να το υπηρετήσουν είτε όσον αφορά τις παραδοσιακές τεχνικές όπως είναι τα καλούπια,η χύτευση και η ζωγραφική, είτε μέσα από νέες σύγχρονες μεθόδους όπως είναι η τρισδιάστατη εκτύπωση.</w:t>
      </w:r>
    </w:p>
    <w:p/>
    <w:p>
      <w:pPr/>
      <w:r>
        <w:rPr/>
        <w:t xml:space="preserve">Ζητάμε να προστεθεί στο άρθρο 27 μεταβατική διάταξη που να προβλέπει την αξιοποίηση ή τη συμμετοχή των αποφοίτων της ειδικότητας «Αντιγραφέας Μνημείων και Εκθεμάτων» στον σχεδιασμό στελέχωσης των εργαστηρίων της νέας εταιρείας, σύμφωνα με τις αρχές της αξιοκρατίας και της ισχύουσας νομοθεσίας.</w:t>
      </w:r>
    </w:p>
    <w:p/>
    <w:p>
      <w:pPr/>
      <w:r>
        <w:rPr/>
        <w:t xml:space="preserve">Η Πολιτεία δημιούργησε αυτή την ειδικότητα, επένδυσε δημόσιους πόρους στην εκπαίδευση τους και δήλωσε δημόσια τον σκοπό της και οι σπουδαστές το στήριξαν. Η απουσία οποιασδήποτε μεταβατικής πρόβλεψης δημιουργεί αντικειμενικά ένα θεσμικό κενό, το οποίο μπορεί και πρέπει να καλυφθεί πριν από την ψήφιση του νομοσχεδίου.</w:t>
      </w:r>
    </w:p>
    <w:p/>
    <w:p>
      <w:pPr/>
      <w:r>
        <w:rPr/>
        <w:t xml:space="preserve">Η προτεινόμενη μεταβατική ρύθμιση δεν αποτελεί προνομιακή μεταχείριση. Αποτελεί τη φυσική συνέχεια μιας δημόσιας πολιτικής που η ίδια η Πολιτεία σχεδίασε, ανακοίνωσε και υλοποίησε.</w:t>
      </w:r>
    </w:p>
    <w:p/>
    <w:p>
      <w:pPr/>
      <w:r>
        <w:rPr>
          <w:b w:val="1"/>
          <w:bCs w:val="1"/>
        </w:rPr>
        <w:t xml:space="preserve">Ενιαίος Σύλλογος Υπαλλήλων ΥΠΠΟ – 20 Ιουλίου 2026, 00:46</w:t>
      </w:r>
    </w:p>
    <w:p>
      <w:pPr/>
      <w:r>
        <w:rPr/>
        <w:t xml:space="preserve">Το σχέδιο νόμου του ΥΠΠΟ για την Ανώνυμη Εταιρεία «Οργανισμός Ανάπτυξης και Διαχείρισης Ελληνικής Πολιτιστικής Κληρονομιάς ΑΕ» (Hellenic Heritage Organisation SA). βλάπτει σοβαρά το δημόσιο συμφέρον, μετατρέπει τα μνημεία σε οίκους εμπορίου και θέτει σε επισφάλεια τα εργασιακά δικαιώματα των υπαλλήλων.</w:t>
      </w:r>
    </w:p>
    <w:p/>
    <w:p/>
    <w:p>
      <w:pPr/>
      <w:r>
        <w:rPr/>
        <w:t xml:space="preserve">Οι διατάξεις του προβλέπουν την συρρίκνωση του ΟΔΑΠ -σε αρμοδιότητες και σε προσωπικό- και τον παραγκωνισμό της Αρχαιολογικής Υπηρεσίας από τα μνημεία! Η διαχείριση αρχαιολογικών χώρων, μνημείων, μουσείων ιστορικών τόπων, η διαχείριση των εισιτηρίων, τα πωλητήρια, τα αναψυκτήρια, η κινητή και ακίνητη περιουσία του ΟΔΑΠ και του ΥΠΠΟ, ανατίθεται σε μία Ανώνυμη Εταιρεία που θα μπορεί να δρα ως «εκπρόσωπος του ΟΔΑΠ και του ΥΠΠΟ»!</w:t>
      </w:r>
    </w:p>
    <w:p/>
    <w:p/>
    <w:p>
      <w:pPr/>
      <w:r>
        <w:rPr/>
        <w:t xml:space="preserve">Το Υπουργείο Πολιτισμού και ο ΟΔΑΠ αρνούνται να ανταποκριθούν στον βασικό τους ρόλο, που είναι η διαχείριση των αρχαιολογικών χώρων με τρόπο ώστε να είναι προσβάσιμοι, διδακτικοί και λειτουργικοί για τους επισκέπτες. Παρά τα εκατομμύρια των εσόδων από τα εισιτήρια, αρνούνται να προσλάβουν το αναγκαίο τακτικό προσωπικό για να προσφέρουν τα βασικά και απαραίτητα, προκρίνοντας τις συμβάσεις ορισμένου χρόνου, τις ιδιωτικές εταιρείες και τώρα την Ανώνυμη Εταιρεία. Ήδη η κατάσταση με την αύξηση των εισιτηρίων έχει οδηγήσει χιλιάδες οικογένειες να μην μπορούν πλέον να επισκεφτούν ούτε καν τα μνημεία και τα μουσεία που βρίσκονται στην περιοχή τους. Το σχέδιο νόμου αντιμετωπίζει τα μνημεία ως «εμπόρευμα».</w:t>
      </w:r>
    </w:p>
    <w:p/>
    <w:p/>
    <w:p>
      <w:pPr/>
      <w:r>
        <w:rPr/>
        <w:t xml:space="preserve">Δεν ξεκίνησαν όλα τώρα. Εδώ και χρόνια ο ΟΔΑΠ έχει αποστεί από τον κοινωνικό και πολιτιστικό ρόλο του και έχει επικεντρωθεί στο να μοιράζει έργα και κονδύλια του ΤΑΑ, είτε υψηλών προϋπολογισμών σε έργα μηδενικής κοινωνικής ανταποδοτικότητας είτε σε πληθώρα έργων με την γνωστή τακτική των απευθείας αναθέσεων σε ιδιώτες, ενώ παράλληλα προχωρά την πλήρη εμπορευματοποίηση των αρχαιολογικών χώρων και των μνημείων της χώρας. Η ίδια πολιτική θα ανατεθεί τώρα σε μια ΑΕ εκτός δημόσιου λογιστικού, εκτός κάθε διαφάνειας και θεσμικής δικλείδας. Το παράδειγμα του ΟΠΕΠ ΑΕ, που έκλεισε υπό το βάρος σκανδάλων, φαίνεται ότι αποτελεί οδηγό για μίμηση και όχι για αποφυγή!</w:t>
      </w:r>
    </w:p>
    <w:p/>
    <w:p/>
    <w:p>
      <w:pPr/>
      <w:r>
        <w:rPr/>
        <w:t xml:space="preserve">Το θέματα αυτά αφορούν όλους τους εργαζόμενους και τις εργαζόμενες στο ΥΠΠΟ, τακτικό και έκτακτο προσωπικό, αφορούν όλους τους πολίτες και τη διαφύλαξη της πολιτιστικής κληρονομιάς. Προσπαθούν να καθησυχάσουν τους εργαζόμενους και τις εργαζόμενες, όμως γνωρίζουμε πολύ καλά τι έχει συμβεί με τα δικαιώματα των υπαλλήλων στα Μουσεία που μετατράπηκαν σε ΝΠΔΔ, των εργαζόμενων στα εκδοτήρια εισιτηρίων και στα πωλητήρια που δόθηκαν σε ιδιώτες. Οι πρώτοι που θα πληγούν είναι οι εργαζόμενοι του ΟΔΑΠ, μόνιμοι και έκτακτοι.</w:t>
      </w:r>
    </w:p>
    <w:p/>
    <w:p/>
    <w:p>
      <w:pPr/>
      <w:r>
        <w:rPr/>
        <w:t xml:space="preserve">Τα σωματεία που υπογράφουμε τασσόμαστε κατά του σχεδίου νόμου. Λέμε όχι στην εμπορευματοποίηση και την ιδιωτικοποίηση του πολιτισμού, όχι στις ελαστικές εργασιακές σχέσεις. Αγωνιζόμαστε γιατί τον πολιτισμό ως κοινωνικό αγαθό.</w:t>
      </w:r>
    </w:p>
    <w:p/>
    <w:p/>
    <w:p>
      <w:pPr/>
      <w:r>
        <w:rPr/>
        <w:t xml:space="preserve">Ο πολιτισμός είναι κοινωνικό αγαθό και δικαίωμα όλων των πολιτών</w:t>
      </w:r>
    </w:p>
    <w:p/>
    <w:p>
      <w:pPr/>
      <w:r>
        <w:rPr>
          <w:b w:val="1"/>
          <w:bCs w:val="1"/>
        </w:rPr>
        <w:t xml:space="preserve">Ενιαίος Σύλλογος Υπαλλήλων ΥΠΠΟ – 20 Ιουλίου 2026, 00:51</w:t>
      </w:r>
    </w:p>
    <w:p>
      <w:pPr/>
      <w:r>
        <w:rPr/>
        <w:t xml:space="preserve">Ο Ενιαίος Σύλλογος Αττικής, Στερεάς και Νήσων εκφράζει την ισχυρή διαφωνία του με την μετεξέλιξη του ΟΔΑΠ -είτε αυτοτελώς, όπως μέχρι σήμερα, είτε μέσα από τη σύσταση μιας ΑΕ, όπως με το παρόν σχέδιο νόμου- από «ταμείο αναδιανομής» των εσόδων από αρχαιολογικούς χώρους και μουσεία της χώρας σε όχημα ιδιωτικοποίησης και εμπορευματοποίησης των μνημείων και κατασπατάλησης πόρων.</w:t>
      </w:r>
    </w:p>
    <w:p/>
    <w:p/>
    <w:p>
      <w:pPr/>
      <w:r>
        <w:rPr/>
        <w:t xml:space="preserve">Το τέως Ταμείο Αρχαιολογικών Πόρων και Απαλλοτριώσεων, που μετεξελίχθηκε σε Οργανισμό Διαχείρισης και Ανάπτυξης Πολιτιστικών Πόρων με τον νόμο 4761/2020, και διαχειρίζεται τα εισιτήρια, τα πωλητήρια, τα αναψυκτήρια, τα ακριβή αντίγραφα, τα τελευταία 4 χρόνια, με «καύσιμη ύλη» τον πακτωλό χρημάτων του Ταμείου Ανάκαμψης, μεταξύ άλλων:</w:t>
      </w:r>
    </w:p>
    <w:p/>
    <w:p/>
    <w:p>
      <w:pPr/>
      <w:r>
        <w:rPr/>
        <w:t xml:space="preserve">–Εισηγήθηκε στο ΥΠΠΟ και πέτυχε την υπέρογκη αύξηση των εισιτηρίων των αρχαιολογικών χώρων, των μνημείων και των μουσείων της χώρας, την κατάργηση της μειωμένης τιμής του χειμώνα που εξυπηρετούσε κυρίως τους Έλληνες επισκέπτες, την κατάργηση του ενιαίου εισιτηρίου, την κατάργηση της έκπτωσης 50% για τους επισκέπτες άνω των 65 ετών (για το καλοκαίρι). Όλα αυτά προστίθενται στην ακρίβεια και υπόλοιπα αντιλαϊκά μέτρα της κυβέρνησης, με αποτέλεσμα χιλιάδες πολίτες να αποτρέπονται από την επίσκεψη στους αρχαιολογικούς χώρους και τα μουσεία. Είναι ενδεικτικό το παράδειγμα για την επίσκεψη σε αρχαιολογικούς χώρους της Αθήνας, όπου με την κατάργηση του ενιαίου εισιτηρίου διάρκειας 5 ημερών το κόστος για την επίσκεψη στους ίδιους αρχαιολογικούς χώρους αυξήθηκε ανά επισκέπτη από τα 30 ευρώ στα 103 ευρώ! Στην πρόσφατη μελέτη επισκεπτών της Pulse, για λογαριασμό του ΥΠΠΟ, καταγράφηκε η δυσαρέσκεια των πολιτών για την αύξηση αυτή. Το ΥΠΠΟ, που δήθεν πρόβαλε τα αποτελέσματα της έρευνας αυτής, αποσιώπησε εντελώς όσα είπαν οι πολίτες για το απαράδεκτα αυξημένο εισιτήριο. Δεν τείνει ευήκοα ώτα σε αυτά που καταγράφουν οι εργαζόμενοι των αρχαιολογικών χώρων για περιστατικά Ελλήνων επισκεπτών που φτάνουν μέχρι την είσοδο του αρχαιολογικού χώρου αλλά δεν μπαίνουν μέσα λόγω του τσουχτερού εισιτηρίου.</w:t>
      </w:r>
    </w:p>
    <w:p/>
    <w:p/>
    <w:p>
      <w:pPr/>
      <w:r>
        <w:rPr/>
        <w:t xml:space="preserve">–Έχει αναθέσει σε ιδιώτες, έναντι αδράς αμοιβής, την διαχείριση των εισιτηρίων των μεγαλύτερων αρχαιολογικών χώρων: της Ακρόπολης, της Αρχαίας Ολυμπίας, της Επιδαύρου, των Δελφών και της Λίνδου. Τα ταμεία των αρχαιολογικών χώρων με την μεγαλύτερη επισκεψιμότητα σήμερα βρίσκονται στα χέρια ιδιωτικών εταιρειών! Δεν ξεχνάμε ότι η ανάθεση των εισιτηρίων της Ακρόπολης σε ιδιωτική εταιρεία έγινε αμέσως μετά τις καταγγελίες των αρχαιοφυλάκων για το πώς διάφοροι επιτήδειοι είχαν βρει τρόπους να παρουσιάζουν πλαστά ηλεκτρονικά εισιτήρια και να θησαυρίζουν εις βάρος είτε των επισκεπτών είτε των δημοσίων εσόδων (υπόθεση την οποία ερεύνησε η Οικονομική Αστυνομία και βρίσκεται σήμερα στις εισαγγελικές αρχές). Μάλιστα, αντί οι υπάλληλοι αυτοί να επιβραβευτούν, απομακρύνθηκαν από την διαχείριση των εισιτηρίων της Ακρόπολης!</w:t>
      </w:r>
    </w:p>
    <w:p/>
    <w:p/>
    <w:p>
      <w:pPr/>
      <w:r>
        <w:rPr/>
        <w:t xml:space="preserve">–Εισηγήθηκε και πέτυχε να διαχειρίζεται «πριβέ επισκέψεις» στην Ακρόπολη, έναντι 5000 ευρώ ανά επίσκεψη, τις οποίες ανέθεσε επίσης σε ιδιωτική εταιρεία. Ουδείς γνωρίζει σε τι συνίσταται αυτή η «ιδιωτική χρήση» που είναι ούτως ή άλλως απαράδεκτη για δημόσια μνημεία.</w:t>
      </w:r>
    </w:p>
    <w:p/>
    <w:p/>
    <w:p>
      <w:pPr/>
      <w:r>
        <w:rPr/>
        <w:t xml:space="preserve">–Ανέθεσε τα αναψυκτήρια των μεγαλύτερων αρχαιολογικών χώρων της χώρας σε μία μόνο αλυσίδα, η οποία μάλιστα τα επινοικιάζει σε άλλους επιχειρηματίες, λειτουργώντας δηλαδή ως «μεσίτης». Η αιτιολογία για αυτή τη σκανδαλώδη σύμβαση ήταν ότι, μαζί με τα κυλικεία των μεγάλων αρχαιολογικών χώρων, η ανάδοχος εταιρεία θα άνοιγε και τα κυλικεία των μικρότερων χώρων και μνημείων, που δεν είναι τόσο προσοδοφόρα. Καλό θα ήταν να απαντήσει το ΥΠΠΟ πόσα κυλικεία από αυτά που περιλαμβάνονταν στην σύμβαση σήμερα είναι κλειστά για το κοινό, παρά τους όρους της σύμβασης.</w:t>
      </w:r>
    </w:p>
    <w:p/>
    <w:p/>
    <w:p>
      <w:pPr/>
      <w:r>
        <w:rPr/>
        <w:t xml:space="preserve">–Ξεκινά ιδιωτικά γεύματα σε αρχαιολογικούς χώρους και μνημεία βαφτίζοντας τα με τον κακόηχο τίτλο «Eaternity Greece». Με το πρόσχημα της «προβολής της τοπικής γαστρονομίας», διοργανώθηκαν πριβέ γεύματα προσβολής των μνημείων, όπως το κρητικό γλέντι στον τόπο μαρτυρίου της Σπιναλόγκας το περασμένο καλοκαίρι. Πρόσφατα ανακοίνωσε ότι πλέον συγκεκριμένοι αρχαιολογικοί χώροι θα διατίθενται και για ιδιωτικά γεύματα. Μεταξύ των μνημείων αυτών και o μαρτυρικός τόπος του Επταπυργίου! Την ίδια ώρα που το προσωπικό του ΥΠΠΟ μειώνεται και καταργούνται σταδιακά οι εκπαιδευτικές δράσεις και δράσεις κοινού που πραγματοποιούσαν οι ίδιες οι Υπηρεσίες του ΥΠΠΟ, ανοιχτές, δωρεάν και προσβάσιμες σε όλους και όλες, με το πρόσχημα της «γαστρονομίας» θα διοργανώνονται στους ίδιους αρχαιολογικούς χώρους κλειστές εκδηλώσεις ιδιωτικής φύσης, με πανάκριβο εισιτήριο, από το οποίο θα πλουτίζουν οι εκάστοτε διοργανωτές, ενώ θα εμπεδώνεται η λογική ότι οι αρχαιολογικοί χώροι και τα μνημεία είναι μόνο για τους «έχοντες».</w:t>
      </w:r>
    </w:p>
    <w:p/>
    <w:p/>
    <w:p>
      <w:pPr/>
      <w:r>
        <w:rPr/>
        <w:t xml:space="preserve">–Είναι σε διαδικασία να αναθέσει σε ιδιωτική εταιρεία ακόμη και τα πωλητήρια 21 αρχαιολογικών χώρων. Μάλιστα, 9.920 ευρώ (από τον τακτικό προϋπολογισμό του ΟΔΑΠ) κοστίζει μόνο η «Μελέτη» που αναθέτει ο ΟΔΑΠ σε ιδιώτη για να «εκτιμήσει» το ύψος του ενοικίου! Πρόκειται για πωλητήρια που μόλις δημιουργήθηκαν, όπως αυτό της Ακρόπολης, με χρήματα του ΤΑΑ και των ελληνικού λαού, και τώρα θα παραδοθούν ολοκαίνουρια σε ιδιώτες.</w:t>
      </w:r>
    </w:p>
    <w:p/>
    <w:p/>
    <w:p>
      <w:pPr/>
      <w:r>
        <w:rPr/>
        <w:t xml:space="preserve">–Αντί να προσλάβει μόνιμο προσωπικό, έχει αναθέσει στοιχειώδεις λειτουργίες που κανονικά διεκπεραιώνονται από τους υπαλλήλους του, σε ιδιωτικές εταιρείες έναντι αδράς αμοιβής ή ακόμη και σε εργαζόμενους με “μπλοκάκι“. Με την ιδιωτικοποίηση των πωλητηρίων και των εισιτηρίων, αντί για υπαλλήλους του ΟΔΑΠ (μόνιμους ή ΙΔΑΧ), θα προσλαμβάνονται υπάλληλοι του εκάστοτε ιδιώτη, ευέλικτοι, χωρίς δικαιώματα, με 13ωρη εργασία. Λογιστικές εργασίες, διοικητικές εργασίες, σελίδες στα Μέσα Κοινωνικής Δικτύωσης, ακόμη και η συγγραφή κειμένων για αρχαιολογικούς χώρους και μνημεία ανατίθενται σε ιδιώτες «συμβούλους». Πρόκειται για ένα μεγάλο πλήγμα στα εργασιακά δικαιώματα όλων μας και πλήγμα στα δημοσία έσοδα.</w:t>
      </w:r>
    </w:p>
    <w:p/>
    <w:p/>
    <w:p>
      <w:pPr/>
      <w:r>
        <w:rPr/>
        <w:t xml:space="preserve">Ενδεικτικό των αποτελεσμάτων αυτής της κατάστασης είναι τα ευτελούς ποιότητας “γιλέκα αναγνώρισης” για το προσωπικό φύλαξης και καθαριότητας μουσείων και αρχαιολογικών χώρων που έστειλε στο τέλος του 2025 ο ΟΔΑΠ στις Υπηρεσίες του ΥΠΠΟ.</w:t>
      </w:r>
    </w:p>
    <w:p/>
    <w:p/>
    <w:p>
      <w:pPr/>
      <w:r>
        <w:rPr/>
        <w:t xml:space="preserve">–Δεν δίνει λόγο για το αποτέλεσμα αυτών των πολιτικών. Ας πάρουμε το πιο απλό παράδειγμα: τι συμβαίνει με το πωλητήριο στα λουλουδάδικα της Βουλής, το οποίο εγκαινίασε με τυμπανοκρουσίες η Υπουργός με τον Πρωθυπουργό; Ο ΟΔΑΠ νοικιάζει το πωλητήριο από την ΕΤΑΔ. Ρωτάμε: Ποιο είναι το οικονομικό αποτέλεσμα της επιλογής να μεταφερθεί εκεί το κεντρικό πωλητήριο του ΟΔΑΠ; Πόσα ήταν τα έσοδα και πόσα τα έξοδα αυτού του πωλητηρίου; Γιατί παραχωρούν τώρα το μοναδικό κεντρικό πωλητήριο του ΟΔΑΠ σε ιδιωτική εταιρεία να το λειτουργεί; Ένα ακόμη παράδειγμα: τι έσοδα και τι κόστος είχε η εξαγγελία του ΟΔΑΠ να συσκευάσει και πωλεί σε εξωφρενική τιμή λάδι από την αρχαία Ολυμπία και την Ήλιδα; Είναι αλήθεια ότι οι συσκευασίες έμειναν στην πλειονότητά τους στα ράφια των πωλητηρίων; Με ποια οικονομοτεχνική μελέτη η δράση επεκτείνεται και σε λάδι από τους Δελφούς, την Ακρόπολη Αθηνών (;) και την αρχαία Μεσσήνη;</w:t>
      </w:r>
    </w:p>
    <w:p/>
    <w:p/>
    <w:p>
      <w:pPr/>
      <w:r>
        <w:rPr/>
        <w:t xml:space="preserve">Ο ΟΔΑΠ έχει αποστεί από τον ρόλο του, που είναι η μέριμνα για τις ανάγκες των μνημείων (απαλλοτριώσεις, εργασίες, εκδόσεις) και έχει επικεντρωθεί στο να μοιράζει έργα και κονδύλια του ΤΑΑ, δυσθεώρητων προϋπολογισμών, σε ιδιώτες, ενώ παράλληλα προχωρά την πλήρη εμπορευματοποίηση των αρχαιολογικών χώρων και των μνημείων της χώρας.</w:t>
      </w:r>
    </w:p>
    <w:p/>
    <w:p/>
    <w:p>
      <w:pPr/>
      <w:r>
        <w:rPr/>
        <w:t xml:space="preserve">Την ίδια στιγμή, αλλάζει τις συνθήκες εργασίας για όλους τους εργαζόμενους: εργασίες που ως τώρα εκτελούσε το προσωπικό του ΟΔΑΠ, τώρα την αναθέτει σε «εξωτερικούς συνεργάτες», σε «εργολαβικούς εργαζόμενους», σε υπαλλήλους ιδιωτών που δεν ελέγχονται για το αν καταβάλλουν νόμιμες αποδοχές, αν τηρούν το ωράριο και τα νόμιμα δικαιώματα των εργαζόμενων και αν αποδίδουν στο δημόσιο τα έσοδά του.</w:t>
      </w:r>
    </w:p>
    <w:p/>
    <w:p/>
    <w:p>
      <w:pPr/>
      <w:r>
        <w:rPr/>
        <w:t xml:space="preserve">Η ανάθεση κάθε μικρής ή μεγάλης λειτουργίας του ΟΔΑΠ σε ιδιωτικές εταιρείες, τα κονδύλια του ΤΑΑ που ξοδεύονται αφειδώς, η μη λογοδοσία, οι απευθείας αναθέσεις και οι διαγωνισμοί με μόνο μία υποψήφια εταιρεία, το γεγονός ότι τα πρακτικά του ΔΣ του ΟΔΑΠ δεν αναρτώνται στην ΔΙΑΥΓΕΙΑ, δημιουργούν γύρω από τον ΟΔΑΠ και το ΔΣ του σκιές για την συνολική διαχείριση.</w:t>
      </w:r>
    </w:p>
    <w:p/>
    <w:p/>
    <w:p>
      <w:pPr/>
      <w:r>
        <w:rPr/>
        <w:t xml:space="preserve">Όλα τα παραπάνω πρόκειται να ενταθούν με το παρόν σχέδιο νόμου, που συστήνει μια ΑΕ εκτός δημόσιου λογιστικού και με μόνο κριτήριο το κέρδος.</w:t>
      </w:r>
    </w:p>
    <w:p/>
    <w:p/>
    <w:p>
      <w:pPr/>
      <w:r>
        <w:rPr/>
        <w:t xml:space="preserve">Ο Ενιαίος Σύλλογος Υπαλλήλων ΥΠΠΟ Αττικής, Στερεάς και Νήσων παλεύει για να σταματήσει η ιδιωτικοποίηση των εσόδων από τα μνημεία, η εμπορευματοποίηση των αρχαιολογικών χώρων, η προσπάθεια η διαχείριση της πολιτιστικής κληρονομιάς να περιχαρακωθεί και να αποτελέσει ακόμα ένα «προϊόν» στο οποίο θα έχουν πρόσβαση μόνο όσοι έχουν πλούσια βαλάντια.</w:t>
      </w:r>
    </w:p>
    <w:p/>
    <w:p>
      <w:pPr/>
      <w:r>
        <w:rPr>
          <w:b w:val="1"/>
          <w:bCs w:val="1"/>
        </w:rPr>
        <w:t xml:space="preserve">ΕΛΛΗΝΙΚΗ ΕΤΑΙΡΕΙΑ Περιβάλλοντος και Πολιτισμού – 20 Ιουλίου 2026, 01:11</w:t>
      </w:r>
    </w:p>
    <w:p>
      <w:pPr/>
      <w:r>
        <w:rPr/>
        <w:t xml:space="preserve">ΘΕΣΕΙΣ ΤΗΣ ΕΛΛΗΝΙΚΗΣ ΕΤΑΙΡΕΙΑΣ ΠΕΡΙΒΑΛΛΟΝΤΟΣ ΚΑΙ ΠΟΛΙΤΙΣΜΟΥ (ΕΛΛΕΤ)</w:t>
      </w:r>
    </w:p>
    <w:p/>
    <w:p>
      <w:pPr/>
      <w:r>
        <w:rPr/>
        <w:t xml:space="preserve">επί του σχεδίου νόμου του Υπουργείου Πολιτισμού για τη σύσταση του Οργανισμού Ανάπτυξης και Διαχείρισης Ελληνικής Πολιτιστικής Κληρονομιάς Α.Ε. (Hellenic Heritage), την αναδιοργάνωση του Ο.Δ.Α.Π., τη διαχείριση της ενάλιας πολιτιστικής κληρονομιάς και τη ρύθμιση θεμάτων προστασίας των αρχαιοτήτων</w:t>
      </w:r>
    </w:p>
    <w:p/>
    <w:p/>
    <w:p>
      <w:pPr/>
      <w:r>
        <w:rPr/>
        <w:t xml:space="preserve">Α. Γενική τοποθέτηση και αντικείμενο των παρατηρήσεων</w:t>
      </w:r>
    </w:p>
    <w:p/>
    <w:p>
      <w:pPr/>
      <w:r>
        <w:rPr/>
        <w:t xml:space="preserve">Το υπό διαβούλευση σχέδιο νόμου δεν συνιστά αμιγώς οργανωτικό νομοθέτημα. Πέρα από τη σύσταση της Hellenic Heritage και την αναδιοργάνωση του Ο.Δ.Α.Π., εισάγει εργαλεία που καθορίζουν τον τρόπο με τον οποίο η πολιτιστική κληρονομιά εντάσσεται και οργανώνεται στον χώρο: τα σχέδια διαχείρισης αρχαιολογικών χώρων (άρθρο 107), τη νέα κατηγορία του αρχαιολογικού πάρκου (άρθρο 108), τα προγράμματα αξιοποίησης ακίνητης περιουσίας, αρχαιολογικών χώρων και μνημείων (άρθρα 6, 7 και 33) και το σχέδιο δράσης για τους επισκέψιμους ενάλιους χώρους (άρθρα 67 έως 69). Με τα εργαλεία αυτά η πολιτιστική προστασία παύει να λειτουργεί μόνο ως απαγόρευση επέμβασης ή ως αδειοδοτική προϋπόθεση και αποκτά χαρακτήρα ειδικής μορφής χωρικής οργάνωσης.</w:t>
      </w:r>
    </w:p>
    <w:p/>
    <w:p>
      <w:pPr/>
      <w:r>
        <w:rPr/>
        <w:t xml:space="preserve">Η ΕΛΛΕΤ αξιολογεί θετικά την εισαγωγή των σχεδίων διαχείρισης και του αρχαιολογικού πάρκου. Πρόκειται για εργαλεία που, εφόσον διαμορφωθούν ορθά, μπορούν να καλύψουν ένα διαχρονικό κενό μεταξύ του αρχαιολογικού και του πολεοδομικού δικαίου και να αντιμετωπίσουν με ενιαίο τρόπο την προστασία, την επισκεψιμότητα, τη φέρουσα ικανότητα και την ανάδειξη κάθε χώρου. </w:t>
      </w:r>
    </w:p>
    <w:p/>
    <w:p>
      <w:pPr/>
      <w:r>
        <w:rPr/>
        <w:t xml:space="preserve">Η ΕΛΛΕΤ υπενθυμίζει ότι όλες οι διατάξεις που αφορούν την αξιοποίηση ακινήτων, αρχαιολογικών χώρων και μνημείων υπόκεινται σε αυστηρή ιεράρχηση: προηγείται η προστασία, ακολουθεί η ανάδειξη και μόνον εντός των ορίων αυτών χωράει η αξιοποίηση. Η ιεράρχηση αυτή δεν είναι διακήρυξη αρχών· απορρέει από το άρθρο 24 του Συντάγματος και από την Ευρωπαϊκή Σύμβαση για την προστασία της αρχαιολογικής κληρονομιάς (Βαλέτα, 1992, ν. 3378/2005), της οποίας το άρθρο 4 επιβάλλει τη διατήρηση στη θέση εύρεσης και το άρθρο 5 απαιτεί οι εγκαταστάσεις και οι διαμορφώσεις υποδοχής επισκεπτών να μην προσβάλλουν τον χαρακτήρα των χώρων και του περιβάλλοντός τους.</w:t>
      </w:r>
    </w:p>
    <w:p/>
    <w:p>
      <w:pPr/>
      <w:r>
        <w:rPr/>
        <w:t xml:space="preserve">Β. Γενικές παρατηρήσεις οριζόντιας εφαρμογής</w:t>
      </w:r>
    </w:p>
    <w:p/>
    <w:p>
      <w:pPr/>
      <w:r>
        <w:rPr/>
        <w:t xml:space="preserve">Η ΕΛΛΕΤ διατυπώνει έξι οριζόντιες θέσεις που διατρέχουν το σύνολο των χωρικών διατάξεων του νομοσχεδίου και προτείνεται να αποτυπωθούν ρητά στο κείμενο.</w:t>
      </w:r>
    </w:p>
    <w:p/>
    <w:p>
      <w:pPr/>
      <w:r>
        <w:rPr/>
        <w:t xml:space="preserve">Β1. Σύνδεση με τα εργαλεία χωρικού και πολεοδομικού σχεδιασμού</w:t>
      </w:r>
    </w:p>
    <w:p/>
    <w:p>
      <w:pPr/>
      <w:r>
        <w:rPr/>
        <w:t xml:space="preserve">Τα σχέδια διαχείρισης και τα αρχαιολογικά πάρκα δεν μπορούν να λειτουργούν παράλληλα και ασύνδετα με τον χωρικό σχεδιασμό. Το νομοσχέδιο δεν αποσαφηνίζει τη σχέση τους με τα Ειδικά και Περιφερειακά Χωροταξικά Πλαίσια, τα Τοπικά και Ειδικά Πολεοδομικά Σχέδια (Τ.Π.Σ. και Ε.Π.Σ.), τις ζώνες προστασίας αρχαιολογικών χώρων και τα σχέδια βιώσιμης αστικής κινητικότητας. Η ΕΛΛΕΤ προτείνει να προβλεφθεί ρητά ότι τα σχέδια διαχείρισης και οι πράξεις κήρυξης αρχαιολογικών πάρκων εναρμονίζονται με τον υπερκείμενο χωρικό σχεδιασμό, ενσωματώνονται στα υποκείμενα Τ.Π.Σ. και Ε.Π.Σ. κατά την εκπόνηση ή αναθεώρησή τους και λειτουργούν ως δεσμευτική κατεύθυνση για αυτά, χωρίς να υποκαθιστούν τις εγγυήσεις του πολεοδομικού δικαίου.</w:t>
      </w:r>
    </w:p>
    <w:p/>
    <w:p>
      <w:pPr/>
      <w:r>
        <w:rPr/>
        <w:t xml:space="preserve">Β2. Φέρουσα ικανότητα ως δεσμευτικό περιεχόμενο</w:t>
      </w:r>
    </w:p>
    <w:p/>
    <w:p>
      <w:pPr/>
      <w:r>
        <w:rPr/>
        <w:t xml:space="preserve">Η ρύθμιση της επισκεψιμότητας που αναφέρει το άρθρο 107 παραμένει χωρίς μετρήσιμο περιεχόμενο. Η ΕΛΛΕΤ προτείνει τα σχέδια διαχείρισης να προσδιορίζουν υποχρεωτικά τη φέρουσα ικανότητα του χώρου με τεκμηριωμένη μεθοδολογία, κατά το πρότυπο της Έκθεσης Εκτίμησης Φέρουσας Ικανότητας (ΕκΕΦΙ), ώστε να αποφευχθούν αποκλίνουσες και αυθαίρετες προσεγγίσεις. Η υπέρβαση της φέρουσας ικανότητας στους μείζονες αρχαιολογικούς προορισμούς αποτελεί ήδη υπαρκτό φαινόμενο υπερτουρισμού και όχι θεωρητικό κίνδυνο.</w:t>
      </w:r>
    </w:p>
    <w:p/>
    <w:p>
      <w:pPr/>
      <w:r>
        <w:rPr/>
        <w:t xml:space="preserve">Β3. Ουσιαστική διαβούλευση και συμμετοχή των αρμόδιων αρχών</w:t>
      </w:r>
    </w:p>
    <w:p/>
    <w:p>
      <w:pPr/>
      <w:r>
        <w:rPr/>
        <w:t xml:space="preserve">Το άρθρο 107 προβλέπει διαβούλευση τριάντα εργάσιμων ημερών, ορίζει όμως ρητά ότι οι παρατηρήσεις δεν δεσμεύουν την υπηρεσία. Η πρόβλεψη αυτή υποβαθμίζει τη διαβούλευση σε τυπική διατύπωση. Η ΕΛΛΕΤ προτείνει η αρμόδια υπηρεσία να υποχρεούται να αξιολογεί αιτιολογημένα τις υποβαλλόμενες παρατηρήσεις και να διασφαλίζεται η θεσμική συμμετοχή των οικείων Ο.Τ.Α. και Περιφερειών, καθώς και του φορέα διαχείρισης των προστατευόμενων περιοχών, όπου ο χώρος εμπίπτει σε περιοχή του δικτύου Natura 2000.</w:t>
      </w:r>
    </w:p>
    <w:p/>
    <w:p>
      <w:pPr/>
      <w:r>
        <w:rPr/>
        <w:t xml:space="preserve">Β4. Προστασία του τοπίου</w:t>
      </w:r>
    </w:p>
    <w:p/>
    <w:p>
      <w:pPr/>
      <w:r>
        <w:rPr/>
        <w:t xml:space="preserve">Η θέα προς το μνημείο, ο περιβάλλων χώρος και η μορφολογία των συνοδευτικών εγκαταστάσεων συνιστούν αναπόσπαστα στοιχεία της προστασίας. Η ΕΛΛΕΤ ζητεί την ενσωμάτωση της διάστασης του τοπίου σε όλα τα εργαλεία του νομοσχεδίου, σύμφωνα με την Ευρωπαϊκή Σύμβαση του Τοπίου (Φλωρεντία, 2000, ν. 3827/2010), η οποία αναγνωρίζει το τοπίο ως στοιχείο δημόσιου συμφέροντος και ως πόρο που πρέπει να προστατεύεται, να διαχειρίζεται και να σχεδιάζεται.</w:t>
      </w:r>
    </w:p>
    <w:p/>
    <w:p>
      <w:pPr/>
      <w:r>
        <w:rPr/>
        <w:t xml:space="preserve">Β5. Προσβασιμότητα και διαχείριση των ροών επισκεπτών</w:t>
      </w:r>
    </w:p>
    <w:p/>
    <w:p>
      <w:pPr/>
      <w:r>
        <w:rPr/>
        <w:t xml:space="preserve"> Τα σχέδια διαχείρισης αντιμετωπίζουν τον αρχαιολογικό χώρο κυρίως ως προς την εσωτερική του λειτουργία και αδιαφορούν για τον τρόπο προσέλευσης των επισκεπτών. Η σχέση του χώρου με την περιβάλλουσα περιοχή έχει διαχρονικά υποτιμηθεί, πρακτική που πρέπει να ανατραπεί προς όφελος τόσο του μνημείου όσο και του τόπου. Η ΕΛΛΕΤ προτείνει τα σχέδια διαχείρισης να ενσωματώνουν αρχές βιώσιμης προσβασιμότητας και διαχείρισης των ροών επισκεπτών, σε συνδυασμό με ψηφιακό εκσυγχρονισμό, ώστε η προσέλευση να αντιμετωπίζεται ως στοιχείο της φέρουσας ικανότητας και όχι ως εξωγενής παράγοντας.</w:t>
      </w:r>
    </w:p>
    <w:p/>
    <w:p>
      <w:pPr/>
      <w:r>
        <w:rPr/>
        <w:t xml:space="preserve">Γ. Παρατηρήσεις κατ' άρθρο</w:t>
      </w:r>
    </w:p>
    <w:p/>
    <w:p>
      <w:pPr/>
      <w:r>
        <w:rPr/>
        <w:t xml:space="preserve">Άρθρο 6 – Αρμοδιότητες της Εταιρείας</w:t>
      </w:r>
    </w:p>
    <w:p/>
    <w:p>
      <w:pPr/>
      <w:r>
        <w:rPr/>
        <w:t xml:space="preserve">Η παρ. 2 αναθέτει στην Εταιρεία, μεταξύ άλλων, την υλοποίηση ανέγερσης, επισκευής και συντήρησης φυλακίων, εκδοτηρίων, πωλητηρίων, αναψυκτηρίων και λοιπών κτιρίων εξυπηρέτησης επισκεπτών σε αρχαιολογικούς χώρους, ιστορικούς τόπους και μνημεία (περ. ε), τη συλλογή καρπών εντός αρχαιολογικών χώρων (περ. στ) και τον σχεδιασμό υπηρεσιών γαστρονομίας εντός αυτών (περ. ια). Οι κατασκευές εξυπηρέτησης επισκεπτών δεν είναι ουδέτερες τεχνικές εγκαταστάσεις. Αποτελούν στοιχεία του αρχαιολογικού και πολιτιστικού τοπίου και, εφόσον σχεδιαστούν με κριτήρια κοινής τεχνικής εξυπηρέτησης, μπορούν να αλλοιώσουν τον χαρακτήρα του χώρου. Η αρμοδιότητα ανέγερσης κτιρίων ανατίθεται σε φορέα με λειτουργικό και εμπορικό προσανατολισμό, χωρίς να συνοδεύεται από ρητές αρχιτεκτονικές και μορφολογικές προδιαγραφές.</w:t>
      </w:r>
    </w:p>
    <w:p/>
    <w:p>
      <w:pPr/>
      <w:r>
        <w:rPr/>
        <w:t xml:space="preserve">Το άρθρο 5 της Σύμβασης της Βαλέτα (ν. 3378/2005) επιβάλλει οι εγκαταστάσεις υποδοχής επισκεπτών να μην προσβάλλουν τον αρχαιολογικό χαρακτήρα των χώρων και του περιβάλλοντός τους. Η προσωρινότητα ή ο εξυπηρετικός χαρακτήρας μιας κατασκευής δεν αίρει την ανάγκη ελέγχου της επίδρασής της.</w:t>
      </w:r>
    </w:p>
    <w:p/>
    <w:p>
      <w:pPr/>
      <w:r>
        <w:rPr/>
        <w:t xml:space="preserve">Να προβλεφθεί ρητά ότι οι κατασκευές εξυπηρέτησης επισκεπτών υλοποιούνται βάσει ειδικών αρχιτεκτονικών και μορφολογικών προδιαγραφών, με περιορισμένο δομικό αποτύπωμα, αρχή της αναστρεψιμότητας όπου είναι τεχνικά εφικτό, συμβατότητα υλικών και ένταξη στο τοπίο, και ότι εντάσσονται υποχρεωτικά στο σχέδιο διαχείρισης του άρθρου 9Α του Κώδικα (ν. 4858/2021), κατόπιν γνώμης του αρμόδιου Συμβουλίου.</w:t>
      </w:r>
    </w:p>
    <w:p/>
    <w:p/>
    <w:p>
      <w:pPr/>
      <w:r>
        <w:rPr/>
        <w:t xml:space="preserve">Άρθρο 7 – Πρόγραμμα αξιοποίησης και γαστρονομικές εκδηλώσεις</w:t>
      </w:r>
    </w:p>
    <w:p/>
    <w:p>
      <w:pPr/>
      <w:r>
        <w:rPr/>
        <w:t xml:space="preserve">Το άρθρο 7 ρυθμίζει τον επιχειρησιακό σχεδιασμό και τη διαδικασία έγκρισης των προγραμμάτων αξιοποίησης. Οι παρ. 6 και 7 προβλέπουν τη διοργάνωση εκδηλώσεων ή δράσεων προαγωγής της τοπικής γαστρονομίας εντός αρχαιολογικών χώρων, ιστορικών τόπων και μνημείων, με έγκριση του Υπουργού και γνώμη του αρμόδιου Συμβουλίου. Η σύνδεση πολιτιστικής κληρονομιάς και τοπικής γαστρονομίας μπορεί να είναι θεμιτή όταν εντάσσεται σε πολιτιστικές διαδρομές και στην άυλη κληρονομιά. Καθίσταται όμως προβληματική αν οδηγήσει σε χρήση του αρχαιολογικού χώρου ως σκηνικού για εκδηλώσεις που επιβαρύνουν τον χώρο, αυξάνουν υπέρμετρα την επισκεψιμότητα, απαιτούν προσωρινές κατασκευές ή μεταβάλλουν την εμπειρία του μνημείου. Το άρθρο δεν θέτει εκ των προτέρων ουσιαστικά όρια.</w:t>
      </w:r>
    </w:p>
    <w:p/>
    <w:p>
      <w:pPr/>
      <w:r>
        <w:rPr/>
        <w:t xml:space="preserve">Να προβλεφθεί ότι κάθε δράση των παρ. 6 και 7 διέπεται από ρητό επικουρικό χαρακτήρα και ελέγχεται ως προς τη συμβατότητά της με το σχέδιο διαχείρισης, τη φέρουσα ικανότητα του χώρου, την κυκλοφοριακή επιβάρυνση, την ηχητική όχληση, τη διαχείριση απορριμμάτων και την προστασία του τοπίου. </w:t>
      </w:r>
    </w:p>
    <w:p/>
    <w:p/>
    <w:p>
      <w:pPr/>
      <w:r>
        <w:rPr/>
        <w:t xml:space="preserve">Άρθρο 33 – Αξιοποίηση ακίνητης περιουσίας Ο.Δ.Α.Π. (τροποποίηση άρθρου 4 ν. 4761/2020)</w:t>
      </w:r>
    </w:p>
    <w:p/>
    <w:p>
      <w:pPr/>
      <w:r>
        <w:rPr/>
        <w:t xml:space="preserve">Το άρθρο 33 αναδιατυπώνει το άρθρο 4 του ν. 4761/2020. Ο Ο.Δ.Α.Π. καθίσταται αρμόδιος για την αξιοποίηση ακινήτων, αναψυκτηρίων και πωλητηρίων εντός ή για την εξυπηρέτηση κηρυγμένων αρχαιολογικών χώρων και ιστορικών τόπων. Η παρ. 2 επιτρέπει πολιτιστικές εκδηλώσεις και δράσεις γαστρονομίας εντός αρχαιολογικών χώρων και στον περιβάλλοντα χώρο αυτών. Η παρ. 4 επιτρέπει, σε περίπτωση άμεσης ανάγκης, εφάπαξ σύναψη συμβάσεων μίσθωσης χωρίς διαγωνισμό, διάρκειας έως δεκαοκτώ μηνών. Η ρητή επέκταση των δράσεων στον περιβάλλοντα χώρο των αρχαιολογικών χώρων έχει σαφή χωρική φόρτιση, καθώς ο περιβάλλων χώρος συχνά υπόκειται σε ζώνες προστασίας και συνδέεται με τη θέα και τη μορφολογία του μνημείου. Παράλληλα, η δυνατότητα απευθείας μίσθωσης χωρίς διαγωνισμό, ακόμη και ως προσωρινή, εγείρει ζήτημα χωρικής και πολεοδομικής διαφάνειας, εφόσον συνοδεύεται από εγκατάσταση κατασκευών ή διαμορφώσεων.</w:t>
      </w:r>
    </w:p>
    <w:p/>
    <w:p>
      <w:pPr/>
      <w:r>
        <w:rPr/>
        <w:t xml:space="preserve">Ο περιβάλλων χώρος των μνημείων προστατεύεται μέσω των ζωνών προστασίας του Κώδικα (ν. 4858/2021) και μέσω του άρθρου 5 της Σύμβασης της Βαλέτα, που εκτείνει την προστασία στο περιβάλλον των χώρων.</w:t>
      </w:r>
    </w:p>
    <w:p/>
    <w:p>
      <w:pPr/>
      <w:r>
        <w:rPr/>
        <w:t xml:space="preserve">Να προστεθεί στην παρ. 2 πρόβλεψη ότι οι δράσεις στον περιβάλλοντα χώρο ασκούνται τηρουμένων των όρων των ζωνών προστασίας και του σχεδίου διαχείρισης, και να διευκρινιστεί στην παρ. 4 ότι οι προσωρινές μισθώσεις δεν επιτρέπουν την ανέγερση νέων μόνιμων κατασκευών χωρίς την προβλεπόμενη έγκριση των αρμόδιων αρχαιολογικών οργάνων.</w:t>
      </w:r>
    </w:p>
    <w:p/>
    <w:p/>
    <w:p>
      <w:pPr/>
      <w:r>
        <w:rPr/>
        <w:t xml:space="preserve">Άρθρα 67 έως 69 – Διαχείριση της ενάλιας πολιτιστικής κληρονομιάς</w:t>
      </w:r>
    </w:p>
    <w:p/>
    <w:p>
      <w:pPr/>
      <w:r>
        <w:rPr/>
        <w:t xml:space="preserve">Ιδρύεται Φορέας Διαχείρισης Επισκέψιμων Χώρων Ενάλιας Πολιτιστικής Κληρονομιάς. Το άρθρο 67 ορίζει τους χώρους αρμοδιότητάς του, περιλαμβανομένων και χερσαίων χώρων και ακινήτων. Το άρθρο 68 ρυθμίζει την αξιοποίηση και την πρόσβαση, με παραπομπή στη νομοθεσία για τα καταδυτικά πάρκα (ν. 3409/2005). Το άρθρο 69 προβλέπει πενταετές Σχέδιο Δράσης. Οι επισκέψιμοι ενάλιοι χώροι δεν είναι απλοί πολιτιστικοί προορισμοί· είναι τμήματα θαλάσσιου χώρου συνδεδεμένα με την προστασία του θαλάσσιου περιβάλλοντος, την ασφάλεια ναυσιπλοΐας και την καταδυτική πίεση. Το Σχέδιο Δράσης του άρθρου 69 παραμένει κυρίως διοικητικό και δεν λειτουργεί ως χωρικό εργαλείο ισοδύναμο του σχεδίου διαχείρισης αρχαιολογικού χώρου. Οι συνοδευτικές χερσαίες εγκαταστάσεις του άρθρου 67 δεν υπάγονται ρητά στους κανόνες πολεοδομικής και τοπιακής συμβατότητας.</w:t>
      </w:r>
    </w:p>
    <w:p/>
    <w:p>
      <w:pPr/>
      <w:r>
        <w:rPr/>
        <w:t xml:space="preserve">Το Σχέδιο Δράσης να ενσωματώνει ρητά τη φέρουσα ικανότητα της καταδυτικής και επισκεπτικής δραστηριότητας, κανόνες πρόσβασης, σύστημα παρακολούθησης και κριτήρια συμβατότητας δραστηριοτήτων, και να εναρμονίζεται με τον θαλάσσιο χωροταξικό σχεδιασμό (ν. 4546/2018) και με το καθεστώς των θαλάσσιων προστατευόμενων περιοχών. Οι χερσαίες εγκαταστάσεις του άρθρου 67 να υπόκεινται στις ίδιες προδιαγραφές πολεοδομικής και τοπιακής συμβατότητας με τις υποδομές των χερσαίων αρχαιολογικών χώρων.</w:t>
      </w:r>
    </w:p>
    <w:p/>
    <w:p/>
    <w:p>
      <w:pPr/>
      <w:r>
        <w:rPr/>
        <w:t xml:space="preserve">Άρθρο 107 – Κατάρτιση σχεδίων διαχείρισης αρχαιολογικών χώρων (νέο άρθρο 9Α ν. 4858/2021)</w:t>
      </w:r>
    </w:p>
    <w:p/>
    <w:p>
      <w:pPr/>
      <w:r>
        <w:rPr/>
        <w:t xml:space="preserve">Προστίθεται άρθρο 9Α στον Κώδικα (ν. 4858/2021). Οι αρμόδιες υπηρεσίες καταρτίζουν σχέδια διαχείρισης των οργανωμένων και επισκέψιμων αρχαιολογικών χώρων και των μνημείων UNESCO. Ορίζεται το ενδεικτικό περιεχόμενό τους, η δυνατότητα συνεργασιών, η διαβούλευση τριάντα ημερών, η οκταετής ισχύς και η εξουσιοδότηση για τον καθορισμό του περιεχομένου. Η πρώτη εφαρμογή προβλέπει προθεσμία τριών ετών για τα μνημεία UNESCO και οκτώ ετών για τους λοιπούς χώρους.</w:t>
      </w:r>
    </w:p>
    <w:p/>
    <w:p>
      <w:pPr/>
      <w:r>
        <w:rPr/>
        <w:t xml:space="preserve">Η ΕΛΛΕΤ θεωρεί το άρθρο 107 την πλέον κρίσιμη χωρική και πολιτιστική τομή του νομοσχεδίου και διατυπώνει τις ακόλουθες στοχευμένες προτάσεις.</w:t>
      </w:r>
    </w:p>
    <w:p/>
    <w:p>
      <w:pPr/>
      <w:r>
        <w:rPr/>
        <w:t xml:space="preserve">α) Χωρικό περιεχόμενο. Το περιεχόμενο της παρ. 2 είναι κυρίως διαχειριστικό. Προτείνεται να προστεθεί περίπτωση που ορίζει ότι το σχέδιο προσδιορίζει τη φέρουσα ικανότητα του χώρου, τις επιτρεπτές διαδρομές και τα σημεία στάσης, τις ζώνες αυξημένης προστασίας και υποδοχής κοινού, τις επιτρεπόμενες εγκαταστάσεις και τη σχέση του χώρου με τον αστικό ή περιαστικό ιστό.</w:t>
      </w:r>
    </w:p>
    <w:p/>
    <w:p>
      <w:pPr/>
      <w:r>
        <w:rPr/>
        <w:t xml:space="preserve">β) Προσέλευση και ροές επισκεπτών. Το σχέδιο διαχείρισης προσδιορίζει τον τρόπο προσέλευσης και τη διαχείριση των ροών επισκεπτών, περιλαμβανομένης της διασύνδεσης με τα δίκτυα δημόσιων συγκοινωνιών και, όπου απαιτείται, με τη διαχείριση της κρουαζιέρας και των οργανωμένων μετακινήσεων, καθώς και ψηφιακών εργαλείων, όπως η ηλεκτρονική κράτηση εισιτηρίων και η διαφοροποίηση τιμών ανά χρονική ζώνη, ως μέσο ρύθμισης της φέρουσας ικανότητας. Η προσβασιμότητα διασφαλίζεται για τα άτομα με αναπηρία και τα εμποδιζόμενα άτομα.</w:t>
      </w:r>
    </w:p>
    <w:p/>
    <w:p>
      <w:pPr/>
      <w:r>
        <w:rPr/>
        <w:t xml:space="preserve">γ)  Σχέση με τον χωρικό σχεδιασμό. Να προβλεφθεί ρητά ότι το σχέδιο διαχείρισης εναρμονίζεται με τον υπερκείμενο χωροταξικό σχεδιασμό και ενσωματώνεται στα Τοπικά και Ειδικά Πολεοδομικά Σχέδια της περιοχής κατά την εκπόνηση ή αναθεώρησή τους. Όπου ο χώρος εμπίπτει σε περιοχή του δικτύου Natura 2000 ή σε άλλη προστατευόμενη περιοχή, το σχέδιο να καταρτίζεται σε συνεργασία με τις αρμόδιες αρχές και να είναι συμβατό με τους στόχους διατήρησής της.</w:t>
      </w:r>
    </w:p>
    <w:p/>
    <w:p>
      <w:pPr/>
      <w:r>
        <w:rPr/>
        <w:t xml:space="preserve">δ) Διαβούλευση. Η πρόβλεψη ότι οι παρατηρήσεις δεν δεσμεύουν την υπηρεσία να αντικατασταθεί από υποχρέωση αιτιολογημένης αξιολόγησης των παρατηρήσεων και ρητή πρόσκληση των οικείων Ο.Τ.Α. και Περιφερειών.</w:t>
      </w:r>
    </w:p>
    <w:p/>
    <w:p>
      <w:pPr/>
      <w:r>
        <w:rPr/>
        <w:t xml:space="preserve">ε) Προθεσμίες. Η οκταετής προθεσμία για τους οργανωμένους χώρους είναι υπερβολικά μακρά για τους χώρους υψηλής επισκεψιμότητας. Προτείνεται προτεραιοποίηση των κορεσμένων και υψηλής πίεσης χώρων με συντομότερη προθεσμία, αντίστοιχη της τριετίας που προβλέπεται για τα μνημεία UNESCO.</w:t>
      </w:r>
    </w:p>
    <w:p/>
    <w:p/>
    <w:p>
      <w:pPr/>
      <w:r>
        <w:rPr/>
        <w:t xml:space="preserve">Άρθρο 108 – Ορισμός αρχαιολογικού πάρκου (νέα περ. η στο άρθρο 2 ν. 4858/2021)</w:t>
      </w:r>
    </w:p>
    <w:p/>
    <w:p>
      <w:pPr/>
      <w:r>
        <w:rPr/>
        <w:t xml:space="preserve">Ορίζεται το αρχαιολογικό πάρκο ως οριοθετημένη εδαφική ενότητα εντός της οποίας διατηρούνται και προστατεύονται στη θέση τους αρχαιολογικά μνημεία ή μνημειακά σύνολα, με συνδυασμένη προστασία, έρευνα, ανάδειξη και ελεγχόμενη πρόσβαση, στο πλαίσιο ενιαίου σχεδίου διαχείρισης. Το πάρκο μπορεί να περιλαμβάνει και αστικές ή αγροτικές εκτάσεις και στοιχεία του φυσικού περιβάλλοντος. Κηρύσσεται με απόφαση του Υπουργού, ενώ γύρω του δύναται να καθορίζεται ζώνη προστασίας. Η εισαγωγή του αρχαιολογικού πάρκου ως ειδικής μορφής χωρικής οργάνωσης είναι θετική. Ο ορισμός όμως αφήνει δύο κρίσιμα κενά. Πρώτον, η ζώνη προστασίας προβλέπεται ως δυνητική και όχι ως κανόνας, μολονότι το πάρκο μπορεί να εκτείνεται σε αστικές, αγροτικές και φυσικές εκτάσεις. Δεύτερον, δεν καθορίζεται η σχέση του πάρκου με τα εργαλεία του χωρικού σχεδιασμού ούτε προβλέπονται ειδικοί όροι δόμησης και χρήσεων γης εντός του. Υπάρχει έτσι ο κίνδυνος το αρχαιολογικό πάρκο να απορροφηθεί από την έννοια της αξιοποίησης και να λειτουργήσει ως θεματικός ή τουριστικός χώρος.</w:t>
      </w:r>
    </w:p>
    <w:p/>
    <w:p>
      <w:pPr/>
      <w:r>
        <w:rPr/>
        <w:t xml:space="preserve">Ο πρωτεύων σκοπός της προστασίας, τον οποίο ρητά διατηρεί ο ορισμός, απαιτεί δεσμευτικούς όρους χρήσεων και δόμησης και όχι μόνο δυνητική ζώνη προστασίας. Η ένταξη στοιχείων του φυσικού περιβάλλοντος ενεργοποιεί τη συναρμοδιότητα με το καθεστώς των προστατευόμενων περιοχών.</w:t>
      </w:r>
    </w:p>
    <w:p/>
    <w:p>
      <w:pPr/>
      <w:r>
        <w:rPr/>
        <w:t xml:space="preserve">Να ενισχυθεί ο ορισμός ως εξής:</w:t>
      </w:r>
    </w:p>
    <w:p/>
    <w:p>
      <w:pPr/>
      <w:r>
        <w:rPr/>
        <w:t xml:space="preserve">•	Η ζώνη προστασίας γύρω από το αρχαιολογικό πάρκο να καθορίζεται κατά κανόνα, και όχι δυνητικά, όταν το πάρκο περιλαμβάνει αστικές, αγροτικές ή φυσικές εκτάσεις.</w:t>
      </w:r>
    </w:p>
    <w:p/>
    <w:p>
      <w:pPr/>
      <w:r>
        <w:rPr/>
        <w:t xml:space="preserve">•	Εντός του αρχαιολογικού πάρκου να ισχύουν ειδικοί όροι δόμησης και χρήσεων γης, οι οποίοι εναρμονίζονται με τα Τοπικά και Ειδικά Πολεοδομικά Σχέδια και υπερισχύουν ως δεσμευτική κατεύθυνση.</w:t>
      </w:r>
    </w:p>
    <w:p/>
    <w:p>
      <w:pPr/>
      <w:r>
        <w:rPr/>
        <w:t xml:space="preserve">•	Οι εμπορικές, γαστρονομικές και εκδηλωσιακές χρήσεις να επιτρέπονται μόνον επικουρικά, εντός του ενιαίου σχεδίου διαχείρισης και εφόσον δεν αλλοιώνουν τη μνημειακή, ιστορική και τοπιακή φυσιογνωμία, σύμφωνα με το άρθρο 5 της Σύμβασης της Βαλέτα.</w:t>
      </w:r>
    </w:p>
    <w:p/>
    <w:p>
      <w:pPr/>
      <w:r>
        <w:rPr/>
        <w:t xml:space="preserve">•	Όπου το πάρκο επικαλύπτεται με περιοχή του δικτύου Natura 2000 ή άλλη προστατευόμενη περιοχή, η κήρυξη και η οριοθέτηση να γίνονται σε συνεργασία με τις αρμόδιες περιβαλλοντικές αρχές.</w:t>
      </w:r>
    </w:p>
    <w:p/>
    <w:p/>
    <w:p>
      <w:pPr/>
      <w:r>
        <w:rPr/>
        <w:t xml:space="preserve">Δ. Σύνοψη προτεραιοτήτων</w:t>
      </w:r>
    </w:p>
    <w:p/>
    <w:p>
      <w:pPr/>
      <w:r>
        <w:rPr/>
        <w:t xml:space="preserve">Η ΕΛΛΕΤ θεωρεί ότι το νομοσχέδιο κινείται προς τη σωστή κατεύθυνση με την εισαγωγή των σχεδίων διαχείρισης και του αρχαιολογικού πάρκου, χρειάζεται όμως συγκεκριμένες προσθήκες ώστε τα νέα εργαλεία να συγκροτήσουν ένα ενιαίο σύστημα προστατευτικής χωρικής διαχείρισης και να μην διολισθήσουν στη λογική της αξιοποίησης. Κατά σειρά προτεραιότητας, η ΕΛΛΕΤ ζητεί:</w:t>
      </w:r>
    </w:p>
    <w:p/>
    <w:p>
      <w:pPr/>
      <w:r>
        <w:rPr/>
        <w:t xml:space="preserve">1.	Ρητή σύνδεση των σχεδίων διαχείρισης (άρθρο 107) και των αρχαιολογικών πάρκων (άρθρο 108) με τον χωρικό και πολεοδομικό σχεδιασμό.</w:t>
      </w:r>
    </w:p>
    <w:p/>
    <w:p>
      <w:pPr/>
      <w:r>
        <w:rPr/>
        <w:t xml:space="preserve">2.	Υποχρεωτικό προσδιορισμό της φέρουσας ικανότητας ως δεσμευτικού περιεχομένου, με τεκμηριωμένη μεθοδολογία.</w:t>
      </w:r>
    </w:p>
    <w:p/>
    <w:p>
      <w:pPr/>
      <w:r>
        <w:rPr/>
        <w:t xml:space="preserve">3.	Ειδικές αρχιτεκτονικές και μορφολογικές προδιαγραφές για τις υποδομές εξυπηρέτησης επισκεπτών και υπαγωγή τους στα σχέδια διαχείρισης.</w:t>
      </w:r>
    </w:p>
    <w:p/>
    <w:p>
      <w:pPr/>
      <w:r>
        <w:rPr/>
        <w:t xml:space="preserve">4.	Επικουρικό χαρακτήρα και φίλτρο συμβατότητας για τις γαστρονομικές και εκδηλωσιακές δράσεις (άρθρα 7 και 33).</w:t>
      </w:r>
    </w:p>
    <w:p/>
    <w:p>
      <w:pPr/>
      <w:r>
        <w:rPr/>
        <w:t xml:space="preserve">5.	Ενίσχυση της ζώνης προστασίας και θέσπιση ειδικών όρων δόμησης και χρήσεων εντός των αρχαιολογικών πάρκων.</w:t>
      </w:r>
    </w:p>
    <w:p/>
    <w:p>
      <w:pPr/>
      <w:r>
        <w:rPr/>
        <w:t xml:space="preserve">6.	Ουσιαστική διαβούλευση με αιτιολογημένη αξιολόγηση των παρατηρήσεων και συμμετοχή της αυτοδιοίκησης και των αρμόδιων περιβαλλοντικών αρχών.</w:t>
      </w:r>
    </w:p>
    <w:p/>
    <w:p>
      <w:pPr/>
      <w:r>
        <w:rPr/>
        <w:t xml:space="preserve">7.	Αναβάθμιση του Σχεδίου Δράσης για την ενάλια κληρονομιά σε ουσιαστικό θαλάσσιο χωρικό εργαλείο.</w:t>
      </w:r>
    </w:p>
    <w:p/>
    <w:p>
      <w:pPr/>
      <w:r>
        <w:rPr/>
        <w:t xml:space="preserve">Η ΕΛΛΕΤ παραμένει στη διάθεση των αρμόδιων υπηρεσιών για την περαιτέρω τεκμηρίωση και εξειδίκευση των ανωτέρω προτάσεων.</w:t>
      </w:r>
    </w:p>
    <w:p/>
    <w:p>
      <w:pPr/>
      <w:r>
        <w:rPr>
          <w:b w:val="1"/>
          <w:bCs w:val="1"/>
        </w:rPr>
        <w:t xml:space="preserve">Α. Παππάς – 20 Ιουλίου 2026, 03:18</w:t>
      </w:r>
    </w:p>
    <w:p>
      <w:pPr/>
      <w:r>
        <w:rPr/>
        <w:t xml:space="preserve">Μέρος Α</w:t>
      </w:r>
    </w:p>
    <w:p/>
    <w:p>
      <w:pPr/>
      <w:r>
        <w:rPr/>
        <w:t xml:space="preserve">Άρθρο 1 :  Για την υλοποίηση των αναφερόμενων στόχων προϋποτίθεται  η ίδρυση ΑΕ ;</w:t>
      </w:r>
    </w:p>
    <w:p/>
    <w:p>
      <w:pPr/>
      <w:r>
        <w:rPr/>
        <w:t xml:space="preserve">Άρθρο 6 : παρ. 2 ε) και 4 Τις σχετικές αρμοδιότητες η ΑΕ τις ασκεί παράλληλα με τον ΟΔΑΠ, ή αποκλειστικά αυτή ;</w:t>
      </w:r>
    </w:p>
    <w:p/>
    <w:p>
      <w:pPr/>
      <w:r>
        <w:rPr/>
        <w:t xml:space="preserve">Άρθρο 7 : Η ΑΕ είναι ουσιαστικά ο διαχειριστής της ακίνητης περιουσίας τόσο του ΥΠΠΟ όσο και του ΟΔΑΠ ;</w:t>
      </w:r>
    </w:p>
    <w:p/>
    <w:p>
      <w:pPr/>
      <w:r>
        <w:rPr/>
        <w:t xml:space="preserve">Η ΑΕ θα έχει έσοδα και από παροχή Υπηρεσιών σε ΝΠΙΔ ή και ιδιώτες ;</w:t>
      </w:r>
    </w:p>
    <w:p/>
    <w:p>
      <w:pPr/>
      <w:r>
        <w:rPr/>
        <w:t xml:space="preserve">Στις μεταβατικές διατάξεις , Άρθρο 27, απαιτείται η πλήρης διασαφήνιση των επαγγελματικών δικαιωμάτων και προνομίων των αποφοίτων της ειδικότητας «Αντιγραφέας Μνημείων και Εκθεμάτων « των Σχολών Ανώτερης Επαγγελματικής Κατάρτισης, σε σχέση με τον ΟΔΑΠ και την υπό ίδρυση ΑΕ.</w:t>
      </w:r>
    </w:p>
    <w:p/>
    <w:p>
      <w:pPr/>
      <w:r>
        <w:rPr>
          <w:b w:val="1"/>
          <w:bCs w:val="1"/>
        </w:rPr>
        <w:t xml:space="preserve">ΑΝΑΣΤΑΣΙΟΣ ΠΑΠΑΓΕΩΡΓΙΟΥ – 20 Ιουλίου 2026, 08:53</w:t>
      </w:r>
    </w:p>
    <w:p>
      <w:pPr/>
      <w:r>
        <w:rPr/>
        <w:t xml:space="preserve">Ως Αναπληρωτής Προϊστάμενος της Διεύθυνσης Μελετών, Έργων, Αποτυπώσεων και Αξιοποίησης Ακίνητης Περιουσίας (ΔΜΕΑΑΠ) της Γενικής Διεύθυνσης του ΟΔΑΠ και λαμβάνοντας υπόψη το ευρύ φάσμα των αρμοδιοτήτων της εν λόγω Διεύθυνσης, παρά τις όποιες συναρμοδιότητες με την υπό σύσταση ΑΕ, προτείνω την μη κατάργηση των κενών οργανικών θέσεων της ΔΜΕΑΑΠ και τη διόρθωση της δεσμευμένης θέσης Τοπογράφου Μηχανικού.</w:t>
      </w:r>
    </w:p>
    <w:p/>
    <w:p/>
    <w:p/>
    <w:bookmarkStart w:id="1" w:name="og_article_2"/>
    <w:bookmarkEnd w:id="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2 – ΜΕΡΟΣ Β΄ ΔΙΟΙΚΗΤΙΚΗ ΑΝΑΔΙΟΡΓΑΝΩΣΗ ΤΟΥ ΟΡΓΑΝΙΣΜΟΥ ΔΙΑΧΕΙΡΙΣΗΣ ΚΑΙ ΑΝΑΠΤΥΞΗΣ ΠΟΛΙΤΙΣΤΙΚΩΝ ΠΟΡΩΝ – ΤΡΟΠΟΠΟΙΗΣΗ Ν. 4761/2020 (Άρθρα 29-51)</w:t>
      </w:r>
    </w:p>
    <w:p>
      <w:pPr>
        <w:jc w:val="both"/>
      </w:pPr>
      <w:r>
        <w:rPr>
          <w:sz w:val="22"/>
          <w:szCs w:val="22"/>
          <w:b w:val="1"/>
          <w:bCs w:val="1"/>
        </w:rPr>
        <w:t xml:space="preserve">ΚΕΦΑΛΑΙΟ Α΄</w:t>
      </w:r>
    </w:p>
    <w:p>
      <w:pPr>
        <w:jc w:val="both"/>
      </w:pPr>
      <w:r>
        <w:rPr>
          <w:sz w:val="22"/>
          <w:szCs w:val="22"/>
          <w:b w:val="1"/>
          <w:bCs w:val="1"/>
        </w:rPr>
        <w:t xml:space="preserve">ΓΕΝΙΚΕΣ ΔΙΑΤΑΞΕΙΣ</w:t>
      </w:r>
    </w:p>
    <w:p>
      <w:pPr>
        <w:jc w:val="both"/>
      </w:pPr>
      <w:r>
        <w:rPr>
          <w:sz w:val="22"/>
          <w:szCs w:val="22"/>
          <w:b w:val="1"/>
          <w:bCs w:val="1"/>
        </w:rPr>
        <w:t xml:space="preserve"> </w:t>
      </w:r>
    </w:p>
    <w:p>
      <w:pPr>
        <w:jc w:val="both"/>
      </w:pPr>
      <w:r>
        <w:rPr>
          <w:sz w:val="22"/>
          <w:szCs w:val="22"/>
          <w:b w:val="1"/>
          <w:bCs w:val="1"/>
        </w:rPr>
        <w:t xml:space="preserve">Άρθρο 29</w:t>
      </w:r>
    </w:p>
    <w:p>
      <w:pPr>
        <w:jc w:val="both"/>
      </w:pPr>
      <w:r>
        <w:rPr>
          <w:sz w:val="22"/>
          <w:szCs w:val="22"/>
          <w:b w:val="1"/>
          <w:bCs w:val="1"/>
        </w:rPr>
        <w:t xml:space="preserve">Σκοπός</w:t>
      </w:r>
    </w:p>
    <w:p>
      <w:pPr>
        <w:jc w:val="both"/>
      </w:pPr>
      <w:r>
        <w:rPr>
          <w:sz w:val="22"/>
          <w:szCs w:val="22"/>
        </w:rPr>
        <w:t xml:space="preserve">Σκοπός του Μέρους Β΄ είναι η ομαλή μετάβαση του Ο.Δ.Α.Π. στο νέο οργανωτικό σχήμα, μετά τη σύσταση της Εταιρείας, με την ανακατανομή των αρμοδιοτήτων, των πόρων και των λειτουργιών που απαιτούνται για την ενιαία και αποτελεσματική διαχείριση των πολιτιστικών πόρων.</w:t>
      </w:r>
    </w:p>
    <w:p>
      <w:pPr>
        <w:jc w:val="both"/>
      </w:pPr>
      <w:r>
        <w:rPr>
          <w:sz w:val="22"/>
          <w:szCs w:val="22"/>
        </w:rPr>
        <w:t xml:space="preserve"> </w:t>
      </w:r>
    </w:p>
    <w:p>
      <w:pPr>
        <w:jc w:val="both"/>
      </w:pPr>
      <w:r>
        <w:rPr>
          <w:sz w:val="22"/>
          <w:szCs w:val="22"/>
          <w:b w:val="1"/>
          <w:bCs w:val="1"/>
        </w:rPr>
        <w:t xml:space="preserve">Άρθρο 30</w:t>
      </w:r>
    </w:p>
    <w:p>
      <w:pPr>
        <w:jc w:val="both"/>
      </w:pPr>
      <w:r>
        <w:rPr>
          <w:sz w:val="22"/>
          <w:szCs w:val="22"/>
          <w:b w:val="1"/>
          <w:bCs w:val="1"/>
        </w:rPr>
        <w:t xml:space="preserve">Αντικείμενο</w:t>
      </w:r>
    </w:p>
    <w:p>
      <w:pPr>
        <w:jc w:val="both"/>
      </w:pPr>
      <w:r>
        <w:rPr>
          <w:sz w:val="22"/>
          <w:szCs w:val="22"/>
        </w:rPr>
        <w:t xml:space="preserve">Αντικείμενο του Μέρους Β’ είναι η διοικητική αναδιοργάνωση του Ο.Δ.Α.Π. λόγω της ανάθεσης στην Εταιρεία, που συστήνεται με το άρθρο 4 του παρόντος, της εκτέλεσης επιχειρησιακού και εμπορικού χαρακτήρα αρμοδιοτήτων του, όπως αυτές αναλύονται στο άρθρο 6 του παρόντος, για την αποτελεσματικότερη εκπλήρωση των στρατηγικών σκοπών του. Η διοικητική αναδιοργάνωση του Ο.Δ.Α.Π. επιτυγχάνεται μέσω των αναγκαίων σημειακών μεταβολών στον ν. 4761/2020 (Α’ 248) ως προς:</w:t>
      </w:r>
    </w:p>
    <w:p>
      <w:pPr>
        <w:jc w:val="both"/>
      </w:pPr>
      <w:r>
        <w:rPr>
          <w:sz w:val="22"/>
          <w:szCs w:val="22"/>
        </w:rPr>
        <w:t xml:space="preserve">α) τους σκοπούς οι οποίοι είτε εκπληρώνονται από τον ίδιο είτε υλοποιούνται μέσω της Εταιρείας,</w:t>
      </w:r>
    </w:p>
    <w:p>
      <w:pPr>
        <w:jc w:val="both"/>
      </w:pPr>
      <w:r>
        <w:rPr>
          <w:sz w:val="22"/>
          <w:szCs w:val="22"/>
        </w:rPr>
        <w:t xml:space="preserve">β) τη συμμετοχή της Εταιρείας στην παραγωγή και διάθεση ακριβών αντιγράφων από τον Ο.Δ.Α.Π.,</w:t>
      </w:r>
    </w:p>
    <w:p>
      <w:pPr>
        <w:jc w:val="both"/>
      </w:pPr>
      <w:r>
        <w:rPr>
          <w:sz w:val="22"/>
          <w:szCs w:val="22"/>
        </w:rPr>
        <w:t xml:space="preserve">γ) την αξιοποίηση της ακίνητης περιουσίας του Ο.Δ.Α.Π. μέσω της Εταιρείας,</w:t>
      </w:r>
    </w:p>
    <w:p>
      <w:pPr>
        <w:jc w:val="both"/>
      </w:pPr>
      <w:r>
        <w:rPr>
          <w:sz w:val="22"/>
          <w:szCs w:val="22"/>
        </w:rPr>
        <w:t xml:space="preserve">δ) την τροποποίηση και την κατάργηση αρμοδιοτήτων του Δ.Σ. του Ο.Δ.Α.Π., λόγω της σύστασης της Εταιρείας και της μεταφοράς αρμοδιοτήτων του Ο.Δ.Α.Π. σε αυτή,</w:t>
      </w:r>
    </w:p>
    <w:p>
      <w:pPr>
        <w:jc w:val="both"/>
      </w:pPr>
      <w:r>
        <w:rPr>
          <w:sz w:val="22"/>
          <w:szCs w:val="22"/>
        </w:rPr>
        <w:t xml:space="preserve">ε) την τροποποίηση αρμοδιοτήτων του Τμήματος Σχεδιασμού και Παραγωγής Πολιτιστικών Εφαρμογών και του Τμήματος Πωλήσεων, Λειτουργίας Πωλητηρίων και Προβολής της Διεύθυνσης Πολιτιστικών Παραγωγών, Πωλήσεων και Προβολής, της Διεύθυνσης Εκδόσεων και Ψηφιακών Εφαρμογών και της Γενικής Διεύθυνσης του Ο.Δ.Α.Π., λόγω μεταφοράς αρμοδιοτήτων στην Εταιρεία,</w:t>
      </w:r>
    </w:p>
    <w:p>
      <w:pPr>
        <w:jc w:val="both"/>
      </w:pPr>
      <w:r>
        <w:rPr>
          <w:sz w:val="22"/>
          <w:szCs w:val="22"/>
        </w:rPr>
        <w:t xml:space="preserve">στ) τη μερική τροποποίηση των πόρων του Ο.Δ.Α.Π., λόγω της σύστασης της Εταιρείας,</w:t>
      </w:r>
    </w:p>
    <w:p>
      <w:pPr>
        <w:jc w:val="both"/>
      </w:pPr>
      <w:r>
        <w:rPr>
          <w:sz w:val="22"/>
          <w:szCs w:val="22"/>
        </w:rPr>
        <w:t xml:space="preserve">ζ) την προσθήκη δαπανών στον Ο.Δ.Α.Π. με σκοπό την τακτική και έκτακτη χρηματοδότηση της Εταιρείας,</w:t>
      </w:r>
    </w:p>
    <w:p>
      <w:pPr>
        <w:jc w:val="both"/>
      </w:pPr>
      <w:r>
        <w:rPr>
          <w:sz w:val="22"/>
          <w:szCs w:val="22"/>
        </w:rPr>
        <w:t xml:space="preserve">η) την κατάργηση των κενών οργανικών θέσεων του Ο.Δ.Α.Π., λόγω μεταφοράς αρμοδιοτήτων από τον Ο.Δ.Α.Π. στην Εταιρεία.</w:t>
      </w:r>
    </w:p>
    <w:p>
      <w:pPr>
        <w:jc w:val="both"/>
      </w:pPr>
      <w:r>
        <w:rPr>
          <w:sz w:val="22"/>
          <w:szCs w:val="22"/>
        </w:rPr>
        <w:t xml:space="preserve"> </w:t>
      </w:r>
    </w:p>
    <w:p>
      <w:pPr>
        <w:jc w:val="both"/>
      </w:pPr>
      <w:r>
        <w:rPr>
          <w:sz w:val="22"/>
          <w:szCs w:val="22"/>
          <w:b w:val="1"/>
          <w:bCs w:val="1"/>
        </w:rPr>
        <w:t xml:space="preserve">ΚΕΦΑΛΑΙΟ Β΄</w:t>
      </w:r>
    </w:p>
    <w:p>
      <w:pPr>
        <w:jc w:val="both"/>
      </w:pPr>
      <w:r>
        <w:rPr>
          <w:sz w:val="22"/>
          <w:szCs w:val="22"/>
          <w:b w:val="1"/>
          <w:bCs w:val="1"/>
        </w:rPr>
        <w:t xml:space="preserve">ΔΙΟΙΚΗΤΙΚΗ ΑΝΑΔΙΟΡΓΑΝΩΣΗ ΤΟΥ ΟΡΓΑΝΙΣΜΟΥ ΔΙΑΧΕΙΡΙΣΗΣ ΚΑΙ ΑΝΑΠΤΥΞΗΣ ΠΟΛΙΤΙΣΤΙΚΩΝ ΠΟΡΩΝ – ΤΡΟΠΟΠΟΙΗΣΕΙΣ Ν. 4761/2020</w:t>
      </w:r>
    </w:p>
    <w:p>
      <w:pPr>
        <w:jc w:val="both"/>
      </w:pPr>
      <w:r>
        <w:rPr>
          <w:sz w:val="22"/>
          <w:szCs w:val="22"/>
          <w:b w:val="1"/>
          <w:bCs w:val="1"/>
        </w:rPr>
        <w:t xml:space="preserve">Άρθρο</w:t>
      </w:r>
      <w:r>
        <w:rPr>
          <w:sz w:val="22"/>
          <w:szCs w:val="22"/>
          <w:b w:val="1"/>
          <w:bCs w:val="1"/>
        </w:rPr>
        <w:t xml:space="preserve"> 31</w:t>
      </w:r>
    </w:p>
    <w:p>
      <w:pPr>
        <w:jc w:val="both"/>
      </w:pPr>
      <w:r>
        <w:rPr>
          <w:sz w:val="22"/>
          <w:szCs w:val="22"/>
          <w:b w:val="1"/>
          <w:bCs w:val="1"/>
        </w:rPr>
        <w:t xml:space="preserve">Σκοποί του Οργανισμού Ανάπτυξης και Διαχείρισης Πολιτιστικών Πόρων -Αντικατάσταση παρ. 2 και προσθήκη παρ. 3 στο άρθρο 2 του ν. 4761/2020</w:t>
      </w:r>
    </w:p>
    <w:p>
      <w:pPr>
        <w:jc w:val="both"/>
      </w:pPr>
      <w:r>
        <w:rPr>
          <w:sz w:val="22"/>
          <w:szCs w:val="22"/>
        </w:rPr>
        <w:t xml:space="preserve">Στο άρθρο 2 του ν. 4761/2020 (Α΄ 248) περί σκοπών του Οργανισμού Διαχείρισης και Ανάπτυξης Πολιτιστικών Πόρων, επέρχονται οι ακόλουθες τροποποιήσεις: α) στην παρ. 2: αα) στο εισαγωγικό εδάφιο οι λέξεις «εκπληρώνονται με τη διάθεση των πόρων του για» αντικαθίστανται από τις λέξεις «που εκπληρώνονται από τον ίδιο με τη διάθεση των πόρων του είναι», αβ) στην περ. α), μετά από τη λέξη «αρχαιολογικούς», προστίθενται οι λέξεις «ή εν γένει πολιτιστικούς», αγ) η περ. γ) αντικαθίσταται, αδ) στην περ. ε) οι λέξεις «εκδόσεων και ψηφιακών εφαρμογών» αντικαθίστανται από τις λέξεις «επιστημονικών συμβατικών και ψηφιακών εκδόσεων», αε) οι περ. στ) και ζ) καταργούνται, αστ) στην περ. η), i) οι λέξεις «από εποπτευόμενους» αντικαθίστανται από τις λέξεις «τους εποπτευόμενους», ii) πριν από τις λέξεις «τον Ο.Δ.Α.Π.» διαγράφεται η λέξη «από», iii) οι λέξεις «τον σχεδιασμό και την υλοποίηση» αντικαθίστανται από τις λέξεις «ο σχεδιασμός και η υλοποίηση», αζ) οι περ. θ) και ι) καταργούνται, β) προστίθεται παρ. 3, και το άρθρο 2, μετά από νομοτεχνικές βελτιώσεις, διαμορφώνεται ως εξής:</w:t>
      </w:r>
    </w:p>
    <w:p>
      <w:pPr>
        <w:jc w:val="both"/>
      </w:pPr>
      <w:r>
        <w:rPr>
          <w:sz w:val="22"/>
          <w:szCs w:val="22"/>
        </w:rPr>
        <w:t xml:space="preserve"> </w:t>
      </w:r>
    </w:p>
    <w:p>
      <w:pPr>
        <w:jc w:val="both"/>
      </w:pPr>
      <w:r>
        <w:rPr>
          <w:sz w:val="22"/>
          <w:szCs w:val="22"/>
        </w:rPr>
        <w:t xml:space="preserve">«Άρθρο 2</w:t>
      </w:r>
    </w:p>
    <w:p>
      <w:pPr>
        <w:jc w:val="both"/>
      </w:pPr>
      <w:r>
        <w:rPr>
          <w:sz w:val="22"/>
          <w:szCs w:val="22"/>
        </w:rPr>
        <w:t xml:space="preserve">Σκοποί του Ο.Δ.Α.Π.</w:t>
      </w:r>
    </w:p>
    <w:p>
      <w:pPr>
        <w:numPr>
          <w:ilvl w:val="0"/>
          <w:numId w:val="36"/>
        </w:numPr>
      </w:pPr>
      <w:r>
        <w:rPr>
          <w:sz w:val="22"/>
          <w:szCs w:val="22"/>
        </w:rPr>
        <w:t xml:space="preserve">Στρατηγικοί σκοποί του Ο.Δ.Α.Π. είναι: α) η αναβάθμιση της ποιότητας των παρεχόμενων υπηρεσιών στους επισκέπτες των αρχαιολογικών χώρων, ιστορικών τόπων, μνημείων και μουσείων, β) η αύξηση των οικονομικών πόρων που προέρχονται από τις επισκέψεις στους άνω χώρους, την παροχή υπηρεσιών προς τους επισκέπτες και την αξιοποίηση της ακίνητης περιουσίας, γ) η διάθεση των οικονομικών πόρων για την υποστήριξη πολιτικής για την ανάδειξη, προβολή και αξιοποίηση της πολιτιστικής κληρονομιάς, τη λειτουργία των αρχαιολογικών χώρων, ιστορικών τόπων και μουσείων και των υπηρεσιών και φορέων που έχουν ως αρμοδιότητα την προστασία, ανάδειξη και προβολή της πολιτιστικής κληρονομιάς, καθώς και τη στήριξη συνεργειών μεταξύ των άνω υπηρεσιών και των φορέων της σύγχρονης πολιτιστικής δημιουργίας.</w:t>
      </w:r>
    </w:p>
    <w:p>
      <w:pPr>
        <w:numPr>
          <w:ilvl w:val="0"/>
          <w:numId w:val="36"/>
        </w:numPr>
      </w:pPr>
      <w:r>
        <w:rPr>
          <w:sz w:val="22"/>
          <w:szCs w:val="22"/>
        </w:rPr>
        <w:t xml:space="preserve">Οι σκοποί του Ο.Δ.Α.Π. που εκπληρώνονται από τον ίδιο με τη διάθεση των πόρων του είναι:</w:t>
      </w:r>
    </w:p>
    <w:p>
      <w:pPr>
        <w:jc w:val="both"/>
      </w:pPr>
      <w:r>
        <w:rPr>
          <w:sz w:val="22"/>
          <w:szCs w:val="22"/>
        </w:rPr>
        <w:t xml:space="preserve">α) η απαλλοτρίωση υπέρ του Ελληνικού Δημοσίου ή την εξαγορά ή τη στέρηση χρήσης ακινήτων για αρχαιολογικούς ή εν γένει πολιτιστικούς σκοπούς και ειδικότερα για τη διενέργεια ανασκαφών, για την αποκατάσταση, προστασία και ανάδειξη των αρχαιολογικών χώρων, των ιστορικών τόπων, των μνημείων και του περιβάλλοντος χώρου αυτών,</w:t>
      </w:r>
    </w:p>
    <w:p>
      <w:pPr>
        <w:jc w:val="both"/>
      </w:pPr>
      <w:r>
        <w:rPr>
          <w:sz w:val="22"/>
          <w:szCs w:val="22"/>
        </w:rPr>
        <w:t xml:space="preserve">β) η ασφάλεια, συντήρηση, διαμόρφωση, αποκατάσταση, ανάδειξη και προβολή των αρχαιολογικών χώρων, των ιστορικών τόπων, των μνημείων και του περιβάλλοντος χώρου αυτών και κάθε κτίσματος που βρίσκεται μέσα σε αυτούς, και η κατασκευή έργων πρόληψης ζημιών και προφύλαξης εντός αρχαιολογικών χώρων, ιστορικών τόπων και μνημείων και του περιβάλλοντος χώρου αυτών, ο εκσυγχρονισμός και η αναβάθμιση των υποδομών και εγκαταστάσεων των αρχαιολογικών χώρων, των ιστορικών τόπων και των μουσείων, η ανέγερση, συντήρηση και επισκευή κύριων και βοηθητικών της λειτουργίας των χώρων και μουσείων κτισμάτων, κατασκευών και κτισμάτων εξυπηρέτησης επισκεπτών των αρχαιολογικών χώρων και ιστορικών τόπων,</w:t>
      </w:r>
    </w:p>
    <w:p>
      <w:pPr>
        <w:jc w:val="both"/>
      </w:pPr>
      <w:r>
        <w:rPr>
          <w:sz w:val="22"/>
          <w:szCs w:val="22"/>
        </w:rPr>
        <w:t xml:space="preserve">γ) η ανάδειξη του έργου της αρχαιολογικής υπηρεσίας,</w:t>
      </w:r>
    </w:p>
    <w:p>
      <w:pPr>
        <w:jc w:val="both"/>
      </w:pPr>
      <w:r>
        <w:rPr>
          <w:sz w:val="22"/>
          <w:szCs w:val="22"/>
        </w:rPr>
        <w:t xml:space="preserve">δ) η υποστήριξη της αποτελεσματικής επιτέλεσης της αποστολής των υπηρεσιών και εποπτευόμενων φορέων του Υπουργείου Πολιτισμού (ΥΠ.ΠΟ.), καθώς και η υποστήριξη της διενέργειας κοινών δράσεων των ανωτέρω υπηρεσιών και φορέων με φορείς της σύγχρονης πολιτιστικής δημιουργίας,</w:t>
      </w:r>
    </w:p>
    <w:p>
      <w:pPr>
        <w:jc w:val="both"/>
      </w:pPr>
      <w:r>
        <w:rPr>
          <w:sz w:val="22"/>
          <w:szCs w:val="22"/>
        </w:rPr>
        <w:t xml:space="preserve">ε) η δημιουργία επιστημονικών συμβατικών και ψηφιακών εκδόσεων με αντικείμενο την πολιτιστική κληρονομιά, την αρχαιολογία και αρχαιογνωσία και την ιστορία της ελληνικής τέχνης, καθώς και τη διάθεση αυτών στο κοινό,</w:t>
      </w:r>
    </w:p>
    <w:p>
      <w:pPr>
        <w:jc w:val="both"/>
      </w:pPr>
      <w:r>
        <w:rPr>
          <w:sz w:val="22"/>
          <w:szCs w:val="22"/>
        </w:rPr>
        <w:t xml:space="preserve">στ) Καταργείται.</w:t>
      </w:r>
    </w:p>
    <w:p>
      <w:pPr>
        <w:jc w:val="both"/>
      </w:pPr>
      <w:r>
        <w:rPr>
          <w:sz w:val="22"/>
          <w:szCs w:val="22"/>
        </w:rPr>
        <w:t xml:space="preserve">ζ) Καταργείται.</w:t>
      </w:r>
    </w:p>
    <w:p>
      <w:pPr>
        <w:jc w:val="both"/>
      </w:pPr>
      <w:r>
        <w:rPr>
          <w:sz w:val="22"/>
          <w:szCs w:val="22"/>
        </w:rPr>
        <w:t xml:space="preserve">η) η ενίσχυση της έρευνας, μελέτης και επιστημονικής τεκμηρίωσης σε θέματα αρχαιολογίας και προστασίας, ανάδειξης και προβολής της πολιτιστικής κληρονομιάς, από την αρχαιολογική υπηρεσία, τους εποπτευόμενους φορείς του Υπουργείου Πολιτισμού ή τον Ο.Δ.Α.Π., ιδίως σε συνεργασία με κρατικά εκπαιδευτικά ιδρύματα, καθώς και ο σχεδιασμός και η υλοποίηση ανάλογου περιεχομένου εκπαιδευτικών προγραμμάτων,</w:t>
      </w:r>
    </w:p>
    <w:p>
      <w:pPr>
        <w:jc w:val="both"/>
      </w:pPr>
      <w:r>
        <w:rPr>
          <w:sz w:val="22"/>
          <w:szCs w:val="22"/>
        </w:rPr>
        <w:t xml:space="preserve">θ) Καταργείται.</w:t>
      </w:r>
    </w:p>
    <w:p>
      <w:pPr>
        <w:jc w:val="both"/>
      </w:pPr>
      <w:r>
        <w:rPr>
          <w:sz w:val="22"/>
          <w:szCs w:val="22"/>
        </w:rPr>
        <w:t xml:space="preserve">ι) Καταργείται.</w:t>
      </w:r>
    </w:p>
    <w:p>
      <w:pPr>
        <w:jc w:val="both"/>
      </w:pPr>
      <w:r>
        <w:rPr>
          <w:sz w:val="22"/>
          <w:szCs w:val="22"/>
        </w:rPr>
        <w:t xml:space="preserve">ια) η ενίσχυση των δημόσιων επενδύσεων στις πολιτιστικές υποδομές και η σύνδεση της πολιτιστικής κληρονομιάς με την έρευνα και την καινοτομία, τη σύγχρονη καλλιτεχνική δημιουργία, τις πολιτιστικές βιομηχανίες και τη δημιουργική οικονομία, με δυνατότητα συμμετοχής σε χρηματοδοτικά σχήματα, στα οποία συμμετέχουν και εθνικοί, ευρωπαϊκοί ή διεθνείς φορείς χρηματοδότησης και επενδύσεων.</w:t>
      </w:r>
    </w:p>
    <w:p>
      <w:pPr>
        <w:numPr>
          <w:ilvl w:val="0"/>
          <w:numId w:val="37"/>
        </w:numPr>
      </w:pPr>
      <w:r>
        <w:rPr>
          <w:sz w:val="22"/>
          <w:szCs w:val="22"/>
        </w:rPr>
        <w:t xml:space="preserve">Οι σκοποί του Ο.Δ.Α.Π. που υλοποιούνται μέσω της ανώνυμης εταιρείας με την επωνυμία «Οργανισμός Ανάπτυξης και Διαχείρισης Ελληνικής Πολιτιστικής Κληρονομιάς Α.Ε.» με τη διάθεση των πόρων του, είναι:</w:t>
      </w:r>
    </w:p>
    <w:p>
      <w:pPr>
        <w:jc w:val="both"/>
      </w:pPr>
      <w:r>
        <w:rPr>
          <w:sz w:val="22"/>
          <w:szCs w:val="22"/>
        </w:rPr>
        <w:t xml:space="preserve">α) η δημιουργία φυσικών και διαδικτυακών πωλητηρίων και η αναβάθμιση φυσικών ή διαδικτυακών πωλητηρίων εντός και εκτός αρχαιολογικών χώρων και μουσείων, σε επιλεγμένα σημεία της Επικράτειας, καθώς και στο εξωτερικό, και η συνεργασία με καταστήματα τρίτων ή άλλα εμπορικά δίκτυα και κανάλια πωλήσεων, με σκοπό τη διάθεση στο κοινό εμπνευσμένων εφαρμογών, καλλιτεχνημάτων, ακριβών αντιγράφων, έργων τέχνης, ψηφιακών εφαρμογών, εν γένει πολιτιστικών αντικειμένων, καθώς και τυποποιημένων και πιστοποιημένων προϊόντων της αγροδιατροφικής αλυσίδας, προερχόμενων από τη χλωρίδα που βρίσκεται εντός αρχαιολογικών χώρων,</w:t>
      </w:r>
    </w:p>
    <w:p>
      <w:pPr>
        <w:jc w:val="both"/>
      </w:pPr>
      <w:r>
        <w:rPr>
          <w:sz w:val="22"/>
          <w:szCs w:val="22"/>
        </w:rPr>
        <w:t xml:space="preserve">β) η διαχείριση, η δημιουργία, η συντήρηση, η λειτουργία και η αναβάθμιση συστημάτων ηλεκτρονικών αγορών και πληρωμών για εισιτήρια εισόδου και άλλες υπηρεσίες για τους επισκέπτες σε αρχαιολογικούς χώρους, ιστορικούς τόπους, μνημεία και μουσεία, καθώς και η διάθεση ειδών, φωτογραφιών, ηλεκτρονικών εκδόσεων και άλλων ψηφιακών εφαρμογών που απευθύνονται στο κοινό,</w:t>
      </w:r>
    </w:p>
    <w:p>
      <w:pPr>
        <w:jc w:val="both"/>
      </w:pPr>
      <w:r>
        <w:rPr>
          <w:sz w:val="22"/>
          <w:szCs w:val="22"/>
        </w:rPr>
        <w:t xml:space="preserve">γ) η μίσθωση ακινήτων για αρχαιολογικούς σκοπούς ή για την εξυπηρέτηση των σκοπών του Ο.Δ.Α.Π.,</w:t>
      </w:r>
    </w:p>
    <w:p>
      <w:pPr>
        <w:jc w:val="both"/>
      </w:pPr>
      <w:r>
        <w:rPr>
          <w:sz w:val="22"/>
          <w:szCs w:val="22"/>
        </w:rPr>
        <w:t xml:space="preserve">δ) η διαχείριση, η λειτουργία, η αναβάθμιση και η υποστήριξη των εργαστηρίων παραγωγής μητρών, φυσικών ή ψηφιακών μοντέλων, ακριβών αντιγράφων και αντιγράφων που ανήκουν στον Ο.Δ.Α.Π., η λειτουργία, η αναβάθμιση και η υποστήριξη εκθεσιακών χώρων, καθώς και η διαχείριση, η λειτουργία και η αναβάθμιση των εκδοτηρίων εισιτηρίων,</w:t>
      </w:r>
    </w:p>
    <w:p>
      <w:pPr>
        <w:jc w:val="both"/>
      </w:pPr>
      <w:r>
        <w:rPr>
          <w:sz w:val="22"/>
          <w:szCs w:val="22"/>
        </w:rPr>
        <w:t xml:space="preserve">ε) η ανάδειξη και προβολή των αρχαιολογικών χώρων, των ιστορικών τόπων, των μνημείων και του περιβάλλοντος χώρου αυτών και κάθε κτίσματος που βρίσκεται μέσα σε αυτούς,</w:t>
      </w:r>
    </w:p>
    <w:p>
      <w:pPr>
        <w:jc w:val="both"/>
      </w:pPr>
      <w:r>
        <w:rPr>
          <w:sz w:val="22"/>
          <w:szCs w:val="22"/>
        </w:rPr>
        <w:t xml:space="preserve">στ) η προβολή της πολιτιστικής πολιτικής, η δημοσιοποίηση και ανάδειξη των κινητών και ακίνητων μνημείων και του έργου της αρχαιολογικής υπηρεσίας στην Ελλάδα και στο εξωτερικό, καθώς και των μουσείων και επισκέψιμων αρχαιολογικών χώρων, ιστορικών τόπων και συλλογών του Δημοσίου.».</w:t>
      </w:r>
    </w:p>
    <w:p>
      <w:pPr>
        <w:jc w:val="both"/>
      </w:pPr>
      <w:r>
        <w:rPr>
          <w:sz w:val="22"/>
          <w:szCs w:val="22"/>
        </w:rPr>
        <w:t xml:space="preserve"> </w:t>
      </w:r>
    </w:p>
    <w:p>
      <w:pPr>
        <w:jc w:val="both"/>
      </w:pPr>
      <w:r>
        <w:rPr>
          <w:sz w:val="22"/>
          <w:szCs w:val="22"/>
          <w:b w:val="1"/>
          <w:bCs w:val="1"/>
        </w:rPr>
        <w:t xml:space="preserve">Άρθρο 32</w:t>
      </w:r>
    </w:p>
    <w:p>
      <w:pPr>
        <w:jc w:val="both"/>
      </w:pPr>
      <w:r>
        <w:rPr>
          <w:sz w:val="22"/>
          <w:szCs w:val="22"/>
          <w:b w:val="1"/>
          <w:bCs w:val="1"/>
        </w:rPr>
        <w:t xml:space="preserve">Συμμετοχή της Εταιρείας στην παραγωγή και διάθεση ακριβών αντιγράφων – Τροποποίηση άρθρου 3 ν. 4761/2020</w:t>
      </w:r>
    </w:p>
    <w:p>
      <w:pPr>
        <w:jc w:val="both"/>
      </w:pPr>
      <w:r>
        <w:rPr>
          <w:sz w:val="22"/>
          <w:szCs w:val="22"/>
        </w:rPr>
        <w:t xml:space="preserve">Στο άρθρο 3 του ν. 4761/2020 (Α΄ 248), περί παραγωγής και διάθεσης ακριβών αντιγράφων, επέρχονται οι ακόλουθες τροποποιήσεις: α) το πρώτο εδάφιο καταργείται, β) στο δεύτερο εδάφιο, μετά από τις λέξεις «σύμφωνα με τον ν. 4412/2016 (Α’ 147)», προστίθενται οι λέξεις «ή από την ανώνυμη εταιρεία με την επωνυμία «Οργανισμός Ανάπτυξης και Διαχείρισης Ελληνικής Πολιτιστικής Κληρονομιάς Α.Ε.»», γ) στο τρίτο εδάφιο, γα) μετά από τις λέξεις «να διατίθενται προς πώληση» προστίθενται οι λέξεις «από την ανώνυμη εταιρεία με την επωνυμία «Οργανισμός Ανάπτυξης και Διαχείρισης Ελληνικής Πολιτιστικής Κληρονομιάς Α.Ε.»», γβ) οι λέξεις «του Ο.Δ.Α.Π., ο οποίος» αντικαθίστανται από τις λέξεις «της προαναφερόμενης εταιρείας, η οποία», γγ) οι λέξεις «από το Δ.Σ. του Ο.Δ.Α.Π.,» αντικαθίστανται από τις λέξεις «με απόφαση του Δ.Σ. της», γδ) οι λέξεις «της Διεύθυνσης Πολιτιστικών Παραγωγών, Πωλήσεων και Προβολής» αντικαθίστανται από τις λέξεις «του Διευθύνοντος Συμβούλου», και το άρθρο 3, μετά από νομοτεχνικές βελτιώσεις, διαμορφώνεται ως εξής:</w:t>
      </w:r>
    </w:p>
    <w:p>
      <w:pPr>
        <w:jc w:val="both"/>
      </w:pPr>
      <w:r>
        <w:rPr>
          <w:sz w:val="22"/>
          <w:szCs w:val="22"/>
        </w:rPr>
        <w:t xml:space="preserve">«Άρθρο 3</w:t>
      </w:r>
    </w:p>
    <w:p>
      <w:pPr>
        <w:jc w:val="both"/>
      </w:pPr>
      <w:r>
        <w:rPr>
          <w:sz w:val="22"/>
          <w:szCs w:val="22"/>
        </w:rPr>
        <w:t xml:space="preserve">Παραγωγή και διάθεση ακριβών αντιγράφων</w:t>
      </w:r>
    </w:p>
    <w:p>
      <w:pPr>
        <w:jc w:val="both"/>
      </w:pPr>
      <w:r>
        <w:rPr>
          <w:sz w:val="22"/>
          <w:szCs w:val="22"/>
        </w:rPr>
        <w:t xml:space="preserve">Τα ακριβή αντίγραφα παράγονται στα εργαστήρια του Ο.Δ.Α.Π., με ίδια μέσα ή με προσφυγή σε εξωτερικό ανάδοχο, σύμφωνα με τον ν. 4412/2016 (Α` 147) ή από την ανώνυμη εταιρεία με την επωνυμία «Οργανισμός Ανάπτυξης και Διαχείρισης Ελληνικής Πολιτιστικής Κληρονομιάς Α.Ε.» και διατίθενται από τα πωλητήρια του Ο.Δ.Α.Π. προς πώληση, με την επιφύλαξη του Κώδικα Φόρου Προστιθέμενης Αξίας (ν. 5144/2024, Α` 162).</w:t>
      </w:r>
    </w:p>
    <w:p>
      <w:pPr>
        <w:jc w:val="both"/>
      </w:pPr>
      <w:r>
        <w:rPr>
          <w:sz w:val="22"/>
          <w:szCs w:val="22"/>
        </w:rPr>
        <w:t xml:space="preserve">Τα ακριβή αντίγραφα μπορούν να διατίθενται προς πώληση από την ανώνυμη εταιρεία με την επωνυμία «Οργανισμός Ανάπτυξης και Διαχείρισης Ελληνικής Πολιτιστικής Κληρονομιάς Α.Ε.» και από ιδιώτες εμπόρους, κατόπιν απόφασης του Δ.Σ. της προαναφερόμενης εταιρείας, η οποία προμηθεύει τα αντίγραφα αυτά, έναντι τιμήματος που καθορίζεται με απόφαση του Δ.Σ. της, η οποία εκδίδεται μετά από εισήγηση του Διευθύνοντος Συμβούλου.».</w:t>
      </w:r>
    </w:p>
    <w:p>
      <w:pPr>
        <w:jc w:val="both"/>
      </w:pPr>
      <w:r>
        <w:rPr>
          <w:sz w:val="22"/>
          <w:szCs w:val="22"/>
        </w:rPr>
        <w:t xml:space="preserve"> </w:t>
      </w:r>
    </w:p>
    <w:p>
      <w:pPr>
        <w:jc w:val="both"/>
      </w:pPr>
      <w:r>
        <w:rPr>
          <w:sz w:val="22"/>
          <w:szCs w:val="22"/>
          <w:b w:val="1"/>
          <w:bCs w:val="1"/>
        </w:rPr>
        <w:t xml:space="preserve">Άρθρο 33</w:t>
      </w:r>
    </w:p>
    <w:p>
      <w:pPr>
        <w:jc w:val="both"/>
      </w:pPr>
      <w:r>
        <w:rPr>
          <w:sz w:val="22"/>
          <w:szCs w:val="22"/>
          <w:b w:val="1"/>
          <w:bCs w:val="1"/>
        </w:rPr>
        <w:t xml:space="preserve">Αξιοποίηση</w:t>
      </w:r>
      <w:r>
        <w:rPr>
          <w:sz w:val="22"/>
          <w:szCs w:val="22"/>
          <w:b w:val="1"/>
          <w:bCs w:val="1"/>
        </w:rPr>
        <w:t xml:space="preserve"> της ακίνητης περιουσίας του Οργανισμού Διαχείρισης και Ανάπτυξης Πολιτιστικών Πόρων </w:t>
      </w:r>
      <w:r>
        <w:rPr>
          <w:sz w:val="22"/>
          <w:szCs w:val="22"/>
          <w:b w:val="1"/>
          <w:bCs w:val="1"/>
        </w:rPr>
        <w:t xml:space="preserve">– Τροποποίηση άρθρου 4 ν. 4761/2020</w:t>
      </w:r>
    </w:p>
    <w:p>
      <w:pPr>
        <w:jc w:val="both"/>
      </w:pPr>
      <w:r>
        <w:rPr>
          <w:sz w:val="22"/>
          <w:szCs w:val="22"/>
        </w:rPr>
        <w:t xml:space="preserve">Στο άρθρο 4 του ν. 4761/2020 (Α΄ 248), περί αξιοποίησης ακίνητης περιουσίας του Οργανισμού Διαχείρισης και Ανάπτυξης Πολιτιστικών Πόρων, επέρχονται οι ακόλουθες τροποποιήσεις: α) η παρ. 3 αντικαθίσταται, β) το τρίτο εδάφιο της παρ. 4 καταργείται, γ) οι παρ. 5 και 6 καταργούνται, και το άρθρο 4, μετά από νομοτεχνικές βελτιώσεις, διαμορφώνεται ως εξής:</w:t>
      </w:r>
    </w:p>
    <w:p>
      <w:pPr>
        <w:jc w:val="both"/>
      </w:pPr>
      <w:r>
        <w:rPr>
          <w:sz w:val="22"/>
          <w:szCs w:val="22"/>
        </w:rPr>
        <w:t xml:space="preserve"> </w:t>
      </w:r>
    </w:p>
    <w:p>
      <w:pPr>
        <w:jc w:val="both"/>
      </w:pPr>
      <w:r>
        <w:rPr>
          <w:sz w:val="22"/>
          <w:szCs w:val="22"/>
        </w:rPr>
        <w:t xml:space="preserve">«Άρθρο 4</w:t>
      </w:r>
    </w:p>
    <w:p>
      <w:pPr>
        <w:jc w:val="both"/>
      </w:pPr>
      <w:r>
        <w:rPr>
          <w:sz w:val="22"/>
          <w:szCs w:val="22"/>
        </w:rPr>
        <w:t xml:space="preserve">Αξιοποίηση ακίνητης περιουσίας Ο.Δ.Α.Π.</w:t>
      </w:r>
    </w:p>
    <w:p>
      <w:pPr>
        <w:numPr>
          <w:ilvl w:val="0"/>
          <w:numId w:val="38"/>
        </w:numPr>
      </w:pPr>
      <w:r>
        <w:rPr>
          <w:sz w:val="22"/>
          <w:szCs w:val="22"/>
        </w:rPr>
        <w:t xml:space="preserve">O Ο.Δ.Α.Π. είναι αρμόδιος για την αξιοποίηση ακινήτων τα οποία ανήκουν κατά κυριότητα ή διαχείριση στο Υπουργείο Πολιτισμού ή στον ίδιο, καθώς και των αναψυκτηρίων και πωλητηρίων, τα οποία ανήκουν κατά κυριότητα ή διαχείριση στο Υπουργείο Πολιτισμού και βρίσκονται εντός κηρυγμένων αρχαιολογικών χώρων και ιστορικών τόπων ή λειτουργούν για την εξυπηρέτηση των επισκεπτών των οργανωμένων αρχαιολογικών χώρων και ιστορικών τόπων, των μουσείων και των μνημείων. Η αξιοποίηση γίνεται με σκοπό την ανάδειξη και προβολή της πολιτιστικής κληρονομιάς, την παροχή υπηρεσιών και προϊόντων υψηλής ποιότητας και την εξασφάλιση εσόδων.</w:t>
      </w:r>
    </w:p>
    <w:p>
      <w:pPr>
        <w:numPr>
          <w:ilvl w:val="0"/>
          <w:numId w:val="38"/>
        </w:numPr>
      </w:pPr>
      <w:r>
        <w:rPr>
          <w:sz w:val="22"/>
          <w:szCs w:val="22"/>
        </w:rPr>
        <w:t xml:space="preserve">Για την επίτευξη του άνω σκοπού, ο Οργανισμός προβαίνει στην παροχή υπηρεσιών εστίασης, στη διοργάνωση πολιτιστικών εκδηλώσεων εντός και στον περιβάλλοντα χώρο των ακινήτων και των αναψυκτηρίων και πωλητηρίων, με σκοπό την ανάδειξη της άυλης πολιτιστικής κληρονομιάς και δράσεων προβολής και προώθησης της τοπικής γαστρονομίας εντός αρχαιολογικών χώρων, ιστορικών τόπων και μνημείων και στον περιβάλλοντα χώρο αυτών, εφαρμοζομένου του άρθρου 46 του Κώδικα νομοθεσίας για την προστασία των αρχαιοτήτων και εν γένει της πολιτιστικής κληρονομιάς (ν. 4858/2021, Α’ 220).</w:t>
      </w:r>
    </w:p>
    <w:p>
      <w:pPr>
        <w:numPr>
          <w:ilvl w:val="0"/>
          <w:numId w:val="38"/>
        </w:numPr>
      </w:pPr>
      <w:r>
        <w:rPr>
          <w:sz w:val="22"/>
          <w:szCs w:val="22"/>
        </w:rPr>
        <w:t xml:space="preserve">Ο Ο.Δ.Α.Π. υλοποιεί τις ανωτέρω δραστηριότητες μέσω συμβάσεων μίσθωσης του π.δ. 715/1979 (Α΄ 212), περί μισθώσεων και εκμισθώσεων ακινήτων των νομικών προσώπων δημοσίου δικαίου, ή δημόσιων συμβάσεων του ν. 4412/2016 (Α΄ 147), ή συμβάσεων παραχώρησης του ν. 4413/2016 (Α΄ 148), ή μέσω παραχώρησης σε φορείς Κοινωνικής και Αλληλέγγυας Οικονομίας του ν. 4430/2016 (Α΄ 205), τις οποίες συνάπτει, στο όνομα και για λογαριασμό του Ο.Δ.Α.Π., η ανώνυμη εταιρεία με την επωνυμία «Οργανισμός Ανάπτυξης και Διαχείρισης Ελληνικής Πολιτιστικής Κληρονομιάς Α.Ε.». Η παραχώρηση της χρήσης των συγκεκριμένων ακινήτων, αναψυκτηρίων και πωλητηρίων στον Ο.Δ.Α.Π., όπου απαιτείται, γίνεται με απόφαση του Υπουργού Πολιτισμού, μετά από γνώμη του αρμόδιου Κεντρικού Συμβουλίου του Κώδικα νομοθεσίας για την προστασία των αρχαιοτήτων και εν γένει της πολιτιστικής κληρονομιάς (ν. 4858/2021, Α΄ 220).</w:t>
      </w:r>
    </w:p>
    <w:p>
      <w:pPr>
        <w:numPr>
          <w:ilvl w:val="0"/>
          <w:numId w:val="38"/>
        </w:numPr>
      </w:pPr>
      <w:r>
        <w:rPr>
          <w:sz w:val="22"/>
          <w:szCs w:val="22"/>
        </w:rPr>
        <w:t xml:space="preserve">Για τα αναψυκτήρια και πωλητήρια, όταν υφίσταται άμεση ανάγκη για την εξυπηρέτηση των επισκεπτών των ως άνω χώρων και μέχρι την εγκατάσταση μισθωτών διαχειριστών που προκύπτουν από τις διαδικασίες της παρ. 3, είναι δυνατή η εφάπαξ σύναψη συμβάσεων μίσθωσης χωρίς διαγωνισμό, με συνολική διάρκεια που δεν μπορεί να υπερβαίνει συνολικά τους δεκαοκτώ (18) μήνες, κατόπιν δημοσίευσης δημόσιας πρόσκλησης εκδήλωσης ενδιαφέροντος. Εφόσον το μηνιαίο μίσθωμα είναι χαμηλότερο από συγκεκριμένο ύψος που καθορίζεται με απόφαση του Δ.Σ., η σύναψη των άνω συμβάσεων μίσθωσης μπορεί να γίνεται και κατόπιν διαδικασίας διαπραγμάτευσης με έναν ή περισσότερους ενδιαφερομένους σε ειδικώς αιτιολογημένες περιπτώσεις και υπό την προϋπόθεση προηγούμενης εκτίμησης από ανεξάρτητο εκτιμητή για το ύψος του εύλογου μηνιαίου μισθώματος. Σε περίπτωση λύσης της σύμβασης πριν από τη λήξη της συμβατικής διάρκειας, ο Ο.Δ.Α.Π. δύναται να συνάψει νέα σύμβαση για το εναπομείναν χρονικό διάστημα μέχρι τη συμπλήρωση των δεκαοκτώ (18) μηνών. Οι συμβάσεις μίσθωσης της παρούσας δεν υπάγονται στις διατάξεις της νομοθεσίας για τις εμπορικές μισθώσεις.</w:t>
      </w:r>
    </w:p>
    <w:p>
      <w:pPr>
        <w:numPr>
          <w:ilvl w:val="0"/>
          <w:numId w:val="38"/>
        </w:numPr>
      </w:pPr>
      <w:r>
        <w:rPr>
          <w:sz w:val="22"/>
          <w:szCs w:val="22"/>
        </w:rPr>
        <w:t xml:space="preserve">Καταργείται.</w:t>
      </w:r>
    </w:p>
    <w:p>
      <w:pPr>
        <w:numPr>
          <w:ilvl w:val="0"/>
          <w:numId w:val="38"/>
        </w:numPr>
      </w:pPr>
      <w:r>
        <w:rPr>
          <w:sz w:val="22"/>
          <w:szCs w:val="22"/>
        </w:rPr>
        <w:t xml:space="preserve">Καταργείται.».</w:t>
      </w:r>
    </w:p>
    <w:p>
      <w:pPr>
        <w:jc w:val="both"/>
      </w:pPr>
      <w:r>
        <w:rPr>
          <w:sz w:val="22"/>
          <w:szCs w:val="22"/>
        </w:rPr>
        <w:t xml:space="preserve"> </w:t>
      </w:r>
    </w:p>
    <w:p>
      <w:pPr>
        <w:jc w:val="both"/>
      </w:pPr>
      <w:r>
        <w:rPr>
          <w:sz w:val="22"/>
          <w:szCs w:val="22"/>
          <w:b w:val="1"/>
          <w:bCs w:val="1"/>
        </w:rPr>
        <w:t xml:space="preserve">Άρθρο 34</w:t>
      </w:r>
    </w:p>
    <w:p>
      <w:pPr>
        <w:jc w:val="both"/>
      </w:pPr>
      <w:r>
        <w:rPr>
          <w:sz w:val="22"/>
          <w:szCs w:val="22"/>
          <w:b w:val="1"/>
          <w:bCs w:val="1"/>
        </w:rPr>
        <w:t xml:space="preserve">Ορισμός Προέδρου, Αντιπροέδρου και Δικηγόρου στο Διοικητικό Συμβούλιο του Οργανισμού Διαχείρισης και Ανάπτυξης Πολιτιστικών Πόρων – Τροποποίηση παρ. 2 άρθρου 7 ν. 4761/2020</w:t>
      </w:r>
    </w:p>
    <w:p>
      <w:pPr>
        <w:jc w:val="both"/>
      </w:pPr>
      <w:r>
        <w:rPr>
          <w:sz w:val="22"/>
          <w:szCs w:val="22"/>
        </w:rPr>
        <w:t xml:space="preserve">Στην παρ. 2 του άρθρου 7 του ν. 4761/2020 (Α΄ 248), περί σύστασης και συγκρότησης του Διοικητικού Συμβουλίου του Οργανισμού Διαχείρισης και Ανάπτυξης Πολιτιστικών Πόρων, επέρχονται οι ακόλουθες τροποποιήσεις: α) στο πρώτο εδάφιο οι λέξεις «επιλέγονται με βάση το Κεφάλαιο Β΄ του ν. 4735/2020 (Α΄ 197)» αντικαθίστανται από τις λέξεις «του Ο.Δ.Α.Π. ορίζονται σύμφωνα με το άρθρο 16 του ν. 5271/2026 (Α΄ 11), περί διαδικασίας επιλογής οργάνων διοίκησης των νομικών προσώπων δημοσίου και ιδιωτικού δικαίου που εποπτεύονται από τον Υπουργό Πολιτισμού», β) στο τέλος του δεύτερου εδαφίου, μετά από τις λέξεις «του Ο.Δ.Α.Π.», προστίθενται οι λέξεις «και ένα (1) μέλος είναι δικηγόρος», και η παρ. 2, μετά από νομοτεχνικές βελτιώσεις, διαμορφώνεται ως εξής:</w:t>
      </w:r>
    </w:p>
    <w:p>
      <w:pPr>
        <w:jc w:val="both"/>
      </w:pPr>
      <w:r>
        <w:rPr>
          <w:sz w:val="22"/>
          <w:szCs w:val="22"/>
        </w:rPr>
        <w:t xml:space="preserve">«2. Ο Πρόεδρος και ο Αντιπρόεδρος του Δ.Σ. του Ο.Δ.Α.Π. ορίζονται σύμφωνα με το άρθρο 16 του ν. 5271/2026 (Α’ 11), περί διαδικασίας επιλογής οργάνων διοίκησης των νομικών προσώπων δημοσίου και ιδιωτικού δικαίου που εποπτεύονται από τον Υπουργό Πολιτισμού. Τρία (3) εκ των λοιπών μελών είναι πρόσωπα που διαθέτουν επιστημονική ή καλλιτεχνική γνώση ή επαγγελματική εμπειρία στα αντικείμενα αρμοδιότητας του Ο.Δ.Α.Π και ένα (1) μέλος είναι δικηγόρος. Ένα (1) μέλος προέρχεται από το Νομικό Συμβούλιο του Κράτους και υποδεικνύεται από τον Πρόεδρο αυτού. Ένα (1) μέλος, υποδεικνύεται από τη Γενική Συνέλευση της Πανελλήνιας Ομοσπονδίας Εργαζομένων του ΥΠ.ΠΟ. Η μη έγκαιρη υπόδειξη των μελών από τα αρμόδια όργανα, εντός δύο (2) μηνών από την αποστολή του σχετικού εγγράφου από τον Ο.Δ.Α.Π., δεν κωλύει τη νόμιμη συγκρότηση του Δ.Σ.».</w:t>
      </w:r>
    </w:p>
    <w:p>
      <w:pPr>
        <w:jc w:val="both"/>
      </w:pPr>
      <w:r>
        <w:rPr>
          <w:sz w:val="22"/>
          <w:szCs w:val="22"/>
          <w:b w:val="1"/>
          <w:bCs w:val="1"/>
        </w:rPr>
        <w:t xml:space="preserve"> </w:t>
      </w:r>
    </w:p>
    <w:p>
      <w:pPr>
        <w:jc w:val="both"/>
      </w:pPr>
      <w:r>
        <w:rPr>
          <w:sz w:val="22"/>
          <w:szCs w:val="22"/>
          <w:b w:val="1"/>
          <w:bCs w:val="1"/>
        </w:rPr>
        <w:t xml:space="preserve">Άρθρο 35</w:t>
      </w:r>
    </w:p>
    <w:p>
      <w:pPr>
        <w:jc w:val="both"/>
      </w:pPr>
      <w:r>
        <w:rPr>
          <w:sz w:val="22"/>
          <w:szCs w:val="22"/>
          <w:b w:val="1"/>
          <w:bCs w:val="1"/>
        </w:rPr>
        <w:t xml:space="preserve">Τροποποίηση και κατάργηση αρμοδιοτήτων του Διοικητικού Συμβουλίου του Οργανισμού Διαχείρισης και Ανάπτυξης Πολιτιστικών Πόρων – Τροποποίηση παρ. 2 άρθρου 10 ν. 4761/2020</w:t>
      </w:r>
    </w:p>
    <w:p>
      <w:pPr>
        <w:jc w:val="both"/>
      </w:pPr>
      <w:r>
        <w:rPr>
          <w:sz w:val="22"/>
          <w:szCs w:val="22"/>
        </w:rPr>
        <w:t xml:space="preserve">Στο δεύτερο εδάφιο της παρ. 2 του άρθρου 10 του ν. 4761/2020 (Α΄ 248), περί αρμοδιοτήτων του Διοικητικού Συμβουλίου του Οργανισμού Διαχείρισης και Ανάπτυξης Πολιτιστικών Πόρων, επέρχονται οι ακόλουθες τροποποιήσεις: α) στην περ. α), στην υποπερ. αα), η λέξη «υιοθέτηση» αντικαθίσταται από τη λέξη «εισήγηση», β) στην περ. β), βα) οι υποπερ. ββ) και βγ) καταργούνται, γ) στην περ. ε), οι υποπερ. εγ), εδ) και εστ) καταργούνται, δ) στην περ. στ), δα) στο εισαγωγικό εδάφιο η λέξη «αξιοποίηση» αντικαθίσταται από τις λέξεις «παρακολούθηση της αξιοποίησης», δβ) στην υποπερ. στα), μετά από τη λέξη «αναψυκτηρίων» προστίθενται οι λέξεις «σύμφωνα με το σχέδιο προγράμματος αξιοποίησης ακίνητης περιουσίας το οποίο συντάσσει η ανώνυμη εταιρεία με την επωνυμία «Οργανισμός Ανάπτυξης και Διαχείρισης Ελληνικής Πολιτιστικής Κληρονομιάς Α.Ε.»», δγ) η υποπερ. στβ) καταργείται, δδ) η υποπερ. στγ) αντικαθίσταται, δε) στην υποπερ. στδ) οι λέξεις «παραχώρησής του» αντικαθίστανται από τις λέξεις «παραχώρησης και ειδικά όσον αφορά στα ακίνητα σύμφωνα με το σχέδιο προγράμματος αξιοποίησης ακίνητης περιουσίας το οποίο συντάσσει η ανώνυμη εταιρεία με την επωνυμία “Οργανισμός Ανάπτυξης και Διαχείρισης Ελληνικής Πολιτιστικής Κληρονομιάς Α.Ε.”» και η παρ. 2 διαμορφώνεται ως εξής:</w:t>
      </w:r>
    </w:p>
    <w:p>
      <w:pPr>
        <w:jc w:val="both"/>
      </w:pPr>
      <w:r>
        <w:rPr>
          <w:sz w:val="22"/>
          <w:szCs w:val="22"/>
        </w:rPr>
        <w:t xml:space="preserve"> </w:t>
      </w:r>
    </w:p>
    <w:p>
      <w:pPr>
        <w:jc w:val="both"/>
      </w:pPr>
      <w:r>
        <w:rPr>
          <w:sz w:val="22"/>
          <w:szCs w:val="22"/>
        </w:rPr>
        <w:t xml:space="preserve">«2. Το Δ.Σ. του Ο.Δ.Α.Π. καταρτίζει και υποβάλλει προς έγκριση στον Υπουργό Πολιτισμού το ετήσιο, το μεσοπρόθεσμο και το πολυετές επιχειρησιακό σχέδιο του Ο.Δ.Α.Π., τα οποία αποτελούν βασικό άξονα λειτουργίας για τα όργανα διοίκησης και τις υπηρεσίες.</w:t>
      </w:r>
    </w:p>
    <w:p>
      <w:pPr>
        <w:jc w:val="both"/>
      </w:pPr>
      <w:r>
        <w:rPr>
          <w:sz w:val="22"/>
          <w:szCs w:val="22"/>
        </w:rPr>
        <w:t xml:space="preserve">Το Δ.Σ. έχει την αρμοδιότητα, ιδίως για:</w:t>
      </w:r>
    </w:p>
    <w:p>
      <w:pPr>
        <w:jc w:val="both"/>
      </w:pPr>
      <w:r>
        <w:rPr>
          <w:sz w:val="22"/>
          <w:szCs w:val="22"/>
        </w:rPr>
        <w:t xml:space="preserve">α) τον στρατηγικό και επιχειρησιακό σχεδιασμό του Ο.Δ.Α.Π., στο πλαίσιο της οποίας είναι αρμόδιο για:</w:t>
      </w:r>
    </w:p>
    <w:p>
      <w:pPr>
        <w:jc w:val="both"/>
      </w:pPr>
      <w:r>
        <w:rPr>
          <w:sz w:val="22"/>
          <w:szCs w:val="22"/>
        </w:rPr>
        <w:t xml:space="preserve">αα) τη διαμόρφωση και αναθεώρηση, σε εξαμηνιαία βάση, του επιχειρησιακού προγράμματος του Ο.Δ.Α.Π., και την εισήγηση του προϋπολογισμού, ισολογισμού, απολογισμού και της ετήσιας έκθεσης πεπραγμένων, που εγκρίνονται από τον Υπουργό Πολιτισμού,</w:t>
      </w:r>
    </w:p>
    <w:p>
      <w:pPr>
        <w:jc w:val="both"/>
      </w:pPr>
      <w:r>
        <w:rPr>
          <w:sz w:val="22"/>
          <w:szCs w:val="22"/>
        </w:rPr>
        <w:t xml:space="preserve">αβ) την έγκριση του τεχνικού προγράμματος έργων και μελετών, του προγράμματος τακτικών ελέγχων, του προγράμματος προμηθειών και υπηρεσιών και του εκδοτικού προγράμματος,</w:t>
      </w:r>
    </w:p>
    <w:p>
      <w:pPr>
        <w:jc w:val="both"/>
      </w:pPr>
      <w:r>
        <w:rPr>
          <w:sz w:val="22"/>
          <w:szCs w:val="22"/>
        </w:rPr>
        <w:t xml:space="preserve">αγ) την έγκριση πώλησης εκδόσεων τρίτων από τον Ο.Δ.Α.Π.,</w:t>
      </w:r>
    </w:p>
    <w:p>
      <w:pPr>
        <w:jc w:val="both"/>
      </w:pPr>
      <w:r>
        <w:rPr>
          <w:sz w:val="22"/>
          <w:szCs w:val="22"/>
        </w:rPr>
        <w:t xml:space="preserve">β) την εσωτερική οργάνωση και λειτουργία του Ο.Δ.Α.Π., στο πλαίσιο της οποίας είναι αρμόδιο για:</w:t>
      </w:r>
    </w:p>
    <w:p>
      <w:pPr>
        <w:jc w:val="both"/>
      </w:pPr>
      <w:r>
        <w:rPr>
          <w:sz w:val="22"/>
          <w:szCs w:val="22"/>
        </w:rPr>
        <w:t xml:space="preserve">βα) την έγκριση του Εσωτερικού Κανονισμού Λειτουργίας, στον οποίο περιγράφονται αναλυτικά και οι αρμοδιότητες των Διευθύνσεων, των Τμημάτων και των Αυτοτελών Τμημάτων του Ο.Δ.Α.Π., καθώς και των Προϊσταμένων αυτών, των Κανονισμών Διαχείρισης Έργων, Προμηθειών και Υπηρεσιών, μετά από γνώμη της Ενιαίας Αρχής Δημοσίων Συμβάσεων, καθώς και του Κανονισμού Λειτουργίας του Δ.Σ., που δημοσιεύονται στην Εφημερίδα της Κυβερνήσεως,</w:t>
      </w:r>
    </w:p>
    <w:p>
      <w:pPr>
        <w:jc w:val="both"/>
      </w:pPr>
      <w:r>
        <w:rPr>
          <w:sz w:val="22"/>
          <w:szCs w:val="22"/>
        </w:rPr>
        <w:t xml:space="preserve">ββ) καταργείται,</w:t>
      </w:r>
    </w:p>
    <w:p>
      <w:pPr>
        <w:jc w:val="both"/>
      </w:pPr>
      <w:r>
        <w:rPr>
          <w:sz w:val="22"/>
          <w:szCs w:val="22"/>
        </w:rPr>
        <w:t xml:space="preserve">βγ) καταργείται,</w:t>
      </w:r>
    </w:p>
    <w:p>
      <w:pPr>
        <w:jc w:val="both"/>
      </w:pPr>
      <w:r>
        <w:rPr>
          <w:sz w:val="22"/>
          <w:szCs w:val="22"/>
        </w:rPr>
        <w:t xml:space="preserve">βδ) την έκδοση απόφασης μεταβίβασης αρμοδιοτήτων ή μεταβίβασης εξουσιοδότησης υπογραφών, στον Πρόεδρο του Δ.Σ., καθώς και στους Προϊσταμένους των οργανικών μονάδων όλων των επιπέδων (Γενική Διεύθυνση, Διεύθυνση, Τμήμα),</w:t>
      </w:r>
    </w:p>
    <w:p>
      <w:pPr>
        <w:jc w:val="both"/>
      </w:pPr>
      <w:r>
        <w:rPr>
          <w:sz w:val="22"/>
          <w:szCs w:val="22"/>
        </w:rPr>
        <w:t xml:space="preserve">γ) θέματα ανθρωπίνου δυναμικού, στο πλαίσιο της οποίας είναι αρμόδιο για:</w:t>
      </w:r>
    </w:p>
    <w:p>
      <w:pPr>
        <w:jc w:val="both"/>
      </w:pPr>
      <w:r>
        <w:rPr>
          <w:sz w:val="22"/>
          <w:szCs w:val="22"/>
        </w:rPr>
        <w:t xml:space="preserve">γα) την εκκίνηση της διαδικασίας πρόσληψης προσωπικού με κάθε σχέση εργασίας,</w:t>
      </w:r>
    </w:p>
    <w:p>
      <w:pPr>
        <w:jc w:val="both"/>
      </w:pPr>
      <w:r>
        <w:rPr>
          <w:sz w:val="22"/>
          <w:szCs w:val="22"/>
        </w:rPr>
        <w:t xml:space="preserve">γβ) την τοποθέτηση των Προϊσταμένων των οργανικών μονάδων, σύμφωνα με το άρθρο 43,</w:t>
      </w:r>
    </w:p>
    <w:p>
      <w:pPr>
        <w:jc w:val="both"/>
      </w:pPr>
      <w:r>
        <w:rPr>
          <w:sz w:val="22"/>
          <w:szCs w:val="22"/>
        </w:rPr>
        <w:t xml:space="preserve">γγ) τον ορισμό ενός εκ των Προϊσταμένων Διευθύνσεων του Ο.Δ.Α.Π. ως αναπληρωτή του Προϊσταμένου της Γενικής Διεύθυνσης, όταν αυτός απουσιάζει, κωλύεται ή ελλείπει,</w:t>
      </w:r>
    </w:p>
    <w:p>
      <w:pPr>
        <w:jc w:val="both"/>
      </w:pPr>
      <w:r>
        <w:rPr>
          <w:sz w:val="22"/>
          <w:szCs w:val="22"/>
        </w:rPr>
        <w:t xml:space="preserve">γδ) τη σύναψη συμβάσεων μίσθωσης έργου,</w:t>
      </w:r>
    </w:p>
    <w:p>
      <w:pPr>
        <w:jc w:val="both"/>
      </w:pPr>
      <w:r>
        <w:rPr>
          <w:sz w:val="22"/>
          <w:szCs w:val="22"/>
        </w:rPr>
        <w:t xml:space="preserve">γε) την άσκηση της πειθαρχικής εξουσίας που προβλέπεται στα άρθρα 116 επ. του Κώδικα Δημοσίων Πολιτικών Υπαλλήλων και Υπαλλήλων Ν.Π.Δ.Δ. (ν. 3528/2007, Α` 26),</w:t>
      </w:r>
    </w:p>
    <w:p>
      <w:pPr>
        <w:jc w:val="both"/>
      </w:pPr>
      <w:r>
        <w:rPr>
          <w:sz w:val="22"/>
          <w:szCs w:val="22"/>
        </w:rPr>
        <w:t xml:space="preserve">δ) την οικονομική διαχείριση του Ο.Δ.Α.Π., στο πλαίσιο της οποίας είναι αρμόδιο για:</w:t>
      </w:r>
    </w:p>
    <w:p>
      <w:pPr>
        <w:jc w:val="both"/>
      </w:pPr>
      <w:r>
        <w:rPr>
          <w:sz w:val="22"/>
          <w:szCs w:val="22"/>
        </w:rPr>
        <w:t xml:space="preserve">δα) την άσκηση καθηκόντων διατάκτη για τον προϋπολογισμό του Ο.Δ.Α.Π., κατά την έννοια των άρθρων 65 έως 68 του ν. 4270/2014 (Α` 143), για κάθε είδους δαπάνες με προϋπολογισμό μεγαλύτερο από το όριο εφαρμογής της ανοικτής διαγωνιστικής διαδικασίας για τη σύναψη δημοσίων συμβάσεων του ν. 4412/2016 (Α` 147),</w:t>
      </w:r>
    </w:p>
    <w:p>
      <w:pPr>
        <w:jc w:val="both"/>
      </w:pPr>
      <w:r>
        <w:rPr>
          <w:sz w:val="22"/>
          <w:szCs w:val="22"/>
        </w:rPr>
        <w:t xml:space="preserve">δβ) τις αρμοδιότητες αποφασίζοντος οργάνου αναθέτουσας αρχής για συμβάσεις προμηθειών και παροχής υπηρεσιών, καθώς και Προϊσταμένης Αρχής στις διαδικασίες προκήρυξης και μέχρι τη σύναψη της σύμβασης ανάθεσης δημόσιων τεχνικών έργων ή εκπόνησης τεχνικών μελετών ή σύμβασης παροχής τεχνικών και άλλων συναφών επιστημονικών υπηρεσιών, με προϋπολογισμό μεγαλύτερο από το όριο εφαρμογής της ανοικτής διαγωνιστικής διαδικασίας για τη σύναψη δημοσίων συμβάσεων του ν. 4412/2016, ή για συμβάσεις των εξαιρετικών περιπτώσεων που προβλέπονται από τα άρθρα 7 έως 12, 32 και 107 έως 110 του ν. 4412/2016,</w:t>
      </w:r>
    </w:p>
    <w:p>
      <w:pPr>
        <w:jc w:val="both"/>
      </w:pPr>
      <w:r>
        <w:rPr>
          <w:sz w:val="22"/>
          <w:szCs w:val="22"/>
        </w:rPr>
        <w:t xml:space="preserve">δγ) τη σύναψη προγραμματικών συμβάσεων, προγραμματικών συμφωνιών ή μνημονίων συνεργασίας με φορείς του δημοσίου ή ιδιωτικού τομέα προς εκπλήρωση των σκοπών του Ο.Δ.Α.Π.,</w:t>
      </w:r>
    </w:p>
    <w:p>
      <w:pPr>
        <w:jc w:val="both"/>
      </w:pPr>
      <w:r>
        <w:rPr>
          <w:sz w:val="22"/>
          <w:szCs w:val="22"/>
        </w:rPr>
        <w:t xml:space="preserve">δδ) την εκτός έδρας μετακίνηση του Προέδρου, του Αντιπροέδρου ή των μελών του και την κάλυψη της σχετικής δαπάνης,</w:t>
      </w:r>
    </w:p>
    <w:p>
      <w:pPr>
        <w:jc w:val="both"/>
      </w:pPr>
      <w:r>
        <w:rPr>
          <w:sz w:val="22"/>
          <w:szCs w:val="22"/>
        </w:rPr>
        <w:t xml:space="preserve">δε) την επιβολή των προστίμων που προβλέπονται στις παρ. 5 και 6 του άρθρου 15,</w:t>
      </w:r>
    </w:p>
    <w:p>
      <w:pPr>
        <w:jc w:val="both"/>
      </w:pPr>
      <w:r>
        <w:rPr>
          <w:sz w:val="22"/>
          <w:szCs w:val="22"/>
        </w:rPr>
        <w:t xml:space="preserve">δστ) τη βεβαίωση των ποσών που οφείλουν τρίτοι στον Ο.Δ.Α.Π. από κάθε αιτία,</w:t>
      </w:r>
    </w:p>
    <w:p>
      <w:pPr>
        <w:jc w:val="both"/>
      </w:pPr>
      <w:r>
        <w:rPr>
          <w:sz w:val="22"/>
          <w:szCs w:val="22"/>
        </w:rPr>
        <w:t xml:space="preserve">ε) την πολιτική πωλήσεων, στο πλαίσιο της οποίας είναι αρμόδιο για:</w:t>
      </w:r>
    </w:p>
    <w:p>
      <w:pPr>
        <w:jc w:val="both"/>
      </w:pPr>
      <w:r>
        <w:rPr>
          <w:sz w:val="22"/>
          <w:szCs w:val="22"/>
        </w:rPr>
        <w:t xml:space="preserve">εα) τη διατύπωση απλής γνώμης προς το Υπουργείο Πολιτισμού για την έκδοση απόφασης καθορισμού των τιμών των εισιτηρίων ή των τιμών χρήσης υπηρεσιών που παρέχονται σε επισκέπτες αρχαιολογικών χώρων και μουσείων,</w:t>
      </w:r>
    </w:p>
    <w:p>
      <w:pPr>
        <w:jc w:val="both"/>
      </w:pPr>
      <w:r>
        <w:rPr>
          <w:sz w:val="22"/>
          <w:szCs w:val="22"/>
        </w:rPr>
        <w:t xml:space="preserve">εβ) τον καθορισμό της τιμολογιακής πολιτικής του Ο.Δ.Α.Π.,</w:t>
      </w:r>
    </w:p>
    <w:p>
      <w:pPr>
        <w:jc w:val="both"/>
      </w:pPr>
      <w:r>
        <w:rPr>
          <w:sz w:val="22"/>
          <w:szCs w:val="22"/>
        </w:rPr>
        <w:t xml:space="preserve">εγ) καταργείται,</w:t>
      </w:r>
    </w:p>
    <w:p>
      <w:pPr>
        <w:jc w:val="both"/>
      </w:pPr>
      <w:r>
        <w:rPr>
          <w:sz w:val="22"/>
          <w:szCs w:val="22"/>
        </w:rPr>
        <w:t xml:space="preserve">εδ) καταργείται,</w:t>
      </w:r>
    </w:p>
    <w:p>
      <w:pPr>
        <w:jc w:val="both"/>
      </w:pPr>
      <w:r>
        <w:rPr>
          <w:sz w:val="22"/>
          <w:szCs w:val="22"/>
        </w:rPr>
        <w:t xml:space="preserve">εε) την έγκριση διακριτικών τίτλων που χαρακτηρίζουν προϊόντα, υπηρεσίες ή λειτουργίες του Ο.Δ.Α.Π.,</w:t>
      </w:r>
    </w:p>
    <w:p>
      <w:pPr>
        <w:jc w:val="both"/>
      </w:pPr>
      <w:r>
        <w:rPr>
          <w:sz w:val="22"/>
          <w:szCs w:val="22"/>
        </w:rPr>
        <w:t xml:space="preserve">εστ) καταργείται,</w:t>
      </w:r>
    </w:p>
    <w:p>
      <w:pPr>
        <w:jc w:val="both"/>
      </w:pPr>
      <w:r>
        <w:rPr>
          <w:sz w:val="22"/>
          <w:szCs w:val="22"/>
        </w:rPr>
        <w:t xml:space="preserve">στ) την παρακολούθηση της αξιοποίησης της ακίνητης περιουσίας του Ο.Δ.Α.Π., στο πλαίσιο της οποίας είναι αρμόδιο για:</w:t>
      </w:r>
    </w:p>
    <w:p>
      <w:pPr>
        <w:jc w:val="both"/>
      </w:pPr>
      <w:r>
        <w:rPr>
          <w:sz w:val="22"/>
          <w:szCs w:val="22"/>
        </w:rPr>
        <w:t xml:space="preserve">στα) την εισήγηση στον Υπουργό Πολιτισμού για την έγκριση του προγράμματος αξιοποίησης ακινήτων και αναψυκτηρίων, σύμφωνα με το σχέδιο προγράμματος αξιοποίησης ακίνητης περιουσίας το οποίο συντάσσει η ανώνυμη εταιρεία με την επωνυμία «Οργανισμός Ανάπτυξης και Διαχείρισης Ελληνικής Πολιτιστικής Κληρονομιάς Α.Ε.».,</w:t>
      </w:r>
    </w:p>
    <w:p>
      <w:pPr>
        <w:jc w:val="both"/>
      </w:pPr>
      <w:r>
        <w:rPr>
          <w:sz w:val="22"/>
          <w:szCs w:val="22"/>
        </w:rPr>
        <w:t xml:space="preserve">στβ) καταργείται,</w:t>
      </w:r>
    </w:p>
    <w:p>
      <w:pPr>
        <w:jc w:val="both"/>
      </w:pPr>
      <w:r>
        <w:rPr>
          <w:sz w:val="22"/>
          <w:szCs w:val="22"/>
        </w:rPr>
        <w:t xml:space="preserve">στγ) την εισήγηση στον Υπουργό Πολιτισμού για την έγκριση του προγράμματος αξιοποίησης αρχαιολογικών χώρων, ιστορικών τόπων, μνημείων και μουσείων, σύμφωνα με το σχέδιο προγράμματος αξιοποίησης αρχαιολογικών χώρων, ιστορικών τόπων, μνημείων και μουσείων, το οποίο συντάσσει η ανώνυμη εταιρεία με την επωνυμία «Οργανισμός Ανάπτυξης και Διαχείρισης Ελληνικής Πολιτιστικής Κληρονομιάς Α.Ε.»,</w:t>
      </w:r>
    </w:p>
    <w:p>
      <w:pPr>
        <w:jc w:val="both"/>
      </w:pPr>
      <w:r>
        <w:rPr>
          <w:sz w:val="22"/>
          <w:szCs w:val="22"/>
        </w:rPr>
        <w:t xml:space="preserve">στδ) την πρόταση στο αρμόδιο όργανο του Υπουργείου Πολιτισμού για την παραχώρηση, με ή χωρίς αντάλλαγμα, της χρήσης κινητών ή ακινήτων που ανήκουν κατά κυριότητα, χρήση ή διαχείριση στον Ο.Δ.Α.Π., καθώς και τους όρους και τις προϋποθέσεις της παραχώρησης και ειδικά όσον αφορά τα ακίνητα σύμφωνα με το σχέδιο προγράμματος αξιοποίησης ακίνητης περιουσίας το οποίο συντάσσει η ανώνυμη εταιρεία με την επωνυμία «Οργανισμός Ανάπτυξης και Διαχείρισης Ελληνικής Πολιτιστικής Κληρονομιάς Α.Ε.»».</w:t>
      </w:r>
    </w:p>
    <w:p>
      <w:pPr>
        <w:jc w:val="both"/>
      </w:pPr>
      <w:r>
        <w:rPr>
          <w:sz w:val="22"/>
          <w:szCs w:val="22"/>
          <w:b w:val="1"/>
          <w:bCs w:val="1"/>
        </w:rPr>
        <w:t xml:space="preserve"> </w:t>
      </w:r>
    </w:p>
    <w:p>
      <w:pPr>
        <w:jc w:val="both"/>
      </w:pPr>
      <w:r>
        <w:rPr>
          <w:sz w:val="22"/>
          <w:szCs w:val="22"/>
          <w:b w:val="1"/>
          <w:bCs w:val="1"/>
        </w:rPr>
        <w:t xml:space="preserve">Άρθρο 36</w:t>
      </w:r>
    </w:p>
    <w:p>
      <w:pPr>
        <w:jc w:val="both"/>
      </w:pPr>
      <w:r>
        <w:rPr>
          <w:sz w:val="22"/>
          <w:szCs w:val="22"/>
          <w:b w:val="1"/>
          <w:bCs w:val="1"/>
        </w:rPr>
        <w:t xml:space="preserve">Τροποποίηση των στόχων της Γενικής Διεύθυνσης του Οργανισμού Ανάπτυξης και Διαχείρισης Πολιτιστικών Πόρων ως προς την αξιοποίηση της ακίνητης περιουσίας του, τον σχεδιασμό και την εφαρμογή της ψηφιακής στρατηγικής του – Τροποποίηση παρ. 2 άρθρου 12 ν. 4761/2020</w:t>
      </w:r>
    </w:p>
    <w:p>
      <w:pPr>
        <w:jc w:val="both"/>
      </w:pPr>
      <w:r>
        <w:rPr>
          <w:sz w:val="22"/>
          <w:szCs w:val="22"/>
        </w:rPr>
        <w:t xml:space="preserve"> </w:t>
      </w:r>
    </w:p>
    <w:p>
      <w:pPr>
        <w:jc w:val="both"/>
      </w:pPr>
      <w:r>
        <w:rPr>
          <w:sz w:val="22"/>
          <w:szCs w:val="22"/>
        </w:rPr>
        <w:t xml:space="preserve">Στην παρ. 2 του άρθρου 12 του ν. 4761/2020 (Α΄ 248), περί σύστασης και στόχων Γενικής Διεύθυνσης, επέρχονται οι ακόλουθες τροποποιήσεις: α) οι λέξεις «η αποτελεσματική και αποδοτική λειτουργία των πωλητηρίων» αντικαθίστανται από τις λέξεις «η παρακολούθηση της λειτουργίας των πωλητηρίων τα οποία διαχειρίζεται στο όνομα και για λογαριασμό του η ανώνυμη εταιρεία με την επωνυμία «Οργανισμός Ανάπτυξης και Διαχείρισης Ελληνικής Πολιτιστικής Κληρονομιάς Α.Ε.»», β) οι λέξεις «η αξιοποίηση της ακίνητης περιουσίας σύμφωνα με το άρθρο 4, ο σχεδιασμός και η εφαρμογή της ψηφιακής στρατηγικής του Ο.Δ.Α.Π.» αντικαθίστανται από τις λέξεις «η παρακολούθηση της αξιοποίησης της ακίνητης περιουσίας την οποία διαχειρίζεται στο όνομα και για λογαριασμό του η ανώνυμη εταιρεία με την επωνυμία «Οργανισμός Ανάπτυξης και Διαχείρισης Ελληνικής Πολιτιστικής Κληρονομιάς Α.Ε.»» και η παρ. 2 διαμορφώνεται ως εξής:</w:t>
      </w:r>
    </w:p>
    <w:p>
      <w:pPr>
        <w:jc w:val="both"/>
      </w:pPr>
      <w:r>
        <w:rPr>
          <w:sz w:val="22"/>
          <w:szCs w:val="22"/>
        </w:rPr>
        <w:t xml:space="preserve"> </w:t>
      </w:r>
    </w:p>
    <w:p>
      <w:pPr>
        <w:jc w:val="both"/>
      </w:pPr>
      <w:r>
        <w:rPr>
          <w:sz w:val="22"/>
          <w:szCs w:val="22"/>
        </w:rPr>
        <w:t xml:space="preserve">«2. Στρατηγικοί στόχοι της Γενικής Διεύθυνσης του Ο.Δ.Α.Π. είναι η αναβάθμιση της αποτελεσματικότητας και αποδοτικότητας της διοικητικής και οικονομικής λειτουργίας, η προβολή της πολιτιστικής πολιτικής και η προώθηση των δραστηριοτήτων του Ο.Δ.Α.Π., η εξασφάλιση της επιστημονικής εγκυρότητας και της ποιοτικής παραγωγής των εκδόσεων, η παρακολούθηση της λειτουργίας των πωλητηρίων τα οποία διαχειρίζεται στο όνομα και για λογαριασμό του η ανώνυμη εταιρεία με την επωνυμία «Οργανισμός Ανάπτυξης και Διαχείρισης Ελληνικής Πολιτιστικής Κληρονομιάς Α.Ε.», η διασφάλιση ικανοποιητικού επιπέδου λειτουργίας των πάσης φύσεως υποδομών του Ο.Δ.Α.Π., η παρακολούθηση της αξιοποίησης της ακίνητης περιουσίας την οποία διαχειρίζεται στο όνομα και για λογαριασμό του η ανώνυμη εταιρεία με την επωνυμία «Οργανισμός Ανάπτυξης και Διαχείρισης Ελληνικής Πολιτιστικής Κληρονομιάς Α.Ε.», η εποπτεία των υπηρεσιών του, καθώς και η υλοποίηση των αποφάσεων του Δ.Σ.».</w:t>
      </w:r>
    </w:p>
    <w:p>
      <w:pPr>
        <w:jc w:val="both"/>
      </w:pPr>
      <w:r>
        <w:rPr>
          <w:sz w:val="22"/>
          <w:szCs w:val="22"/>
        </w:rPr>
        <w:t xml:space="preserve"> </w:t>
      </w:r>
    </w:p>
    <w:p>
      <w:pPr>
        <w:jc w:val="both"/>
      </w:pPr>
      <w:r>
        <w:rPr>
          <w:sz w:val="22"/>
          <w:szCs w:val="22"/>
          <w:b w:val="1"/>
          <w:bCs w:val="1"/>
        </w:rPr>
        <w:t xml:space="preserve">Άρθρο 37</w:t>
      </w:r>
    </w:p>
    <w:p>
      <w:pPr>
        <w:jc w:val="both"/>
      </w:pPr>
      <w:r>
        <w:rPr>
          <w:sz w:val="22"/>
          <w:szCs w:val="22"/>
          <w:b w:val="1"/>
          <w:bCs w:val="1"/>
        </w:rPr>
        <w:t xml:space="preserve">Τροποποίηση των αρμοδιοτήτων του Προϊσταμένου Γενικής Διεύθυνσης του Οργανισμού Διαχείρισης και Ανάπτυξης Πολιτιστικών Πόρων – Τροποποίηση περ. β) παρ. 1 άρθρου 13 ν. 4761/2020</w:t>
      </w:r>
    </w:p>
    <w:p>
      <w:pPr>
        <w:jc w:val="both"/>
      </w:pPr>
      <w:r>
        <w:rPr>
          <w:sz w:val="22"/>
          <w:szCs w:val="22"/>
          <w:b w:val="1"/>
          <w:bCs w:val="1"/>
        </w:rPr>
        <w:t xml:space="preserve"> </w:t>
      </w:r>
    </w:p>
    <w:p>
      <w:pPr>
        <w:jc w:val="both"/>
      </w:pPr>
      <w:r>
        <w:rPr>
          <w:sz w:val="22"/>
          <w:szCs w:val="22"/>
        </w:rPr>
        <w:t xml:space="preserve">Στην περ. β) της παρ. 1 του άρθρου 13 του ν. 4761/2020 (Α΄ 248), περί ορισμού, αρμοδιοτήτων και αμοιβής Προϊσταμένου Γενικής Διεύθυνσης, μετά από τις λέξεις «εκδοτικό πρόγραμμα» διαγράφονται οι λέξεις «και μεριμνά για τα θέματα ίδρυσης και εν γένει λειτουργίας των πωλητηρίων» και η περ. β) διαμορφώνεται ως εξής:</w:t>
      </w:r>
    </w:p>
    <w:p>
      <w:pPr>
        <w:jc w:val="both"/>
      </w:pPr>
      <w:r>
        <w:rPr>
          <w:sz w:val="22"/>
          <w:szCs w:val="22"/>
        </w:rPr>
        <w:t xml:space="preserve"> </w:t>
      </w:r>
    </w:p>
    <w:p>
      <w:pPr>
        <w:jc w:val="both"/>
      </w:pPr>
      <w:r>
        <w:rPr>
          <w:sz w:val="22"/>
          <w:szCs w:val="22"/>
        </w:rPr>
        <w:t xml:space="preserve">«β) Συνεργάζεται με τον Πρόεδρο του Δ.Σ. για τον καθορισμό των θεμάτων της ημερήσιας διάταξης των συνεδριάσεων του Δ.Σ., εισηγείται επ` αυτών με τη συνεργασία των καθ` ύλην αρμόδιων οργανικών μονάδων, καταρτίζει και υποβάλλει στο Δ.Σ. προς έγκριση το πολυετές, το μεσοπρόθεσμο και το ετήσιο επιχειρησιακό πρόγραμμα, τον προϋπολογισμό και τις τροποποιήσεις του, τον απολογισμό, τον ισολογισμό, την ετήσια έκθεση πεπραγμένων, το τεχνικό πρόγραμμα έργων και μελετών, το πρόγραμμα προμηθειών – υπηρεσιών, το εκδοτικό πρόγραμμα.».</w:t>
      </w:r>
    </w:p>
    <w:p>
      <w:pPr>
        <w:jc w:val="both"/>
      </w:pPr>
      <w:r>
        <w:rPr>
          <w:sz w:val="22"/>
          <w:szCs w:val="22"/>
          <w:b w:val="1"/>
          <w:bCs w:val="1"/>
        </w:rPr>
        <w:t xml:space="preserve"> </w:t>
      </w:r>
    </w:p>
    <w:p>
      <w:pPr>
        <w:jc w:val="both"/>
      </w:pPr>
      <w:r>
        <w:rPr>
          <w:sz w:val="22"/>
          <w:szCs w:val="22"/>
          <w:b w:val="1"/>
          <w:bCs w:val="1"/>
        </w:rPr>
        <w:t xml:space="preserve">Άρθρο 38</w:t>
      </w:r>
    </w:p>
    <w:p>
      <w:pPr>
        <w:jc w:val="both"/>
      </w:pPr>
      <w:r>
        <w:rPr>
          <w:sz w:val="22"/>
          <w:szCs w:val="22"/>
          <w:b w:val="1"/>
          <w:bCs w:val="1"/>
        </w:rPr>
        <w:t xml:space="preserve">Τροποποίηση των πόρων του Οργανισμού Ανάπτυξης και Διαχείρισης Πολιτιστικών Πόρων – Τροποποίηση άρθρου 14 ν. 4761/2020</w:t>
      </w:r>
    </w:p>
    <w:p>
      <w:pPr>
        <w:jc w:val="both"/>
      </w:pPr>
      <w:r>
        <w:rPr>
          <w:sz w:val="22"/>
          <w:szCs w:val="22"/>
        </w:rPr>
        <w:t xml:space="preserve"> </w:t>
      </w:r>
    </w:p>
    <w:p>
      <w:pPr>
        <w:jc w:val="both"/>
      </w:pPr>
      <w:r>
        <w:rPr>
          <w:sz w:val="22"/>
          <w:szCs w:val="22"/>
        </w:rPr>
        <w:t xml:space="preserve">Στο άρθρο 14 του ν. 4761/2020 (Α΄ 248), περί πόρων του Οργανισμού Διαχείρισης και Ανάπτυξης Πολιτιστικών Πόρων, επέρχονται οι ακόλουθες τροποποιήσεις: α) η περ. ζ) της παρ. 1 καταργείται, β) στην παρ. 2 οι λέξεις «του Ο.Δ.Α.Π., η οποία υποβάλλεται εντός δύο (2) μηνών από την έναρξη ισχύος του παρόντος» αντικαθίστανται από τις λέξεις «της ανώνυμης εταιρείας με την επωνυμία «Οργανισμός Ανάπτυξης και Διαχείρισης Ελληνικής Πολιτιστικής Κληρονομιάς Α.Ε.»» και το άρθρο 14 διαμορφώνεται ως εξής:</w:t>
      </w:r>
    </w:p>
    <w:p>
      <w:pPr>
        <w:jc w:val="both"/>
      </w:pPr>
      <w:r>
        <w:rPr>
          <w:sz w:val="22"/>
          <w:szCs w:val="22"/>
        </w:rPr>
        <w:t xml:space="preserve"> </w:t>
      </w:r>
    </w:p>
    <w:p>
      <w:pPr>
        <w:jc w:val="both"/>
      </w:pPr>
      <w:r>
        <w:rPr>
          <w:sz w:val="22"/>
          <w:szCs w:val="22"/>
        </w:rPr>
        <w:t xml:space="preserve">«Άρθρο 14</w:t>
      </w:r>
    </w:p>
    <w:p>
      <w:pPr>
        <w:jc w:val="both"/>
      </w:pPr>
      <w:r>
        <w:rPr>
          <w:sz w:val="22"/>
          <w:szCs w:val="22"/>
        </w:rPr>
        <w:t xml:space="preserve">Πόροι</w:t>
      </w:r>
    </w:p>
    <w:p>
      <w:pPr>
        <w:numPr>
          <w:ilvl w:val="0"/>
          <w:numId w:val="39"/>
        </w:numPr>
      </w:pPr>
      <w:r>
        <w:rPr>
          <w:sz w:val="22"/>
          <w:szCs w:val="22"/>
        </w:rPr>
        <w:t xml:space="preserve">Πόροι του Ο.Δ.Α.Π. είναι:</w:t>
      </w:r>
    </w:p>
    <w:p>
      <w:pPr>
        <w:jc w:val="both"/>
      </w:pPr>
      <w:r>
        <w:rPr>
          <w:sz w:val="22"/>
          <w:szCs w:val="22"/>
        </w:rPr>
        <w:t xml:space="preserve">α) Τα έσοδα από τα εισιτήρια εισόδου σε μουσεία, συλλογές, αρχαιολογικούς χώρους και μνημεία, καθώς και τα έσοδα από την παροχή υπηρεσιών στο κοινό τους, με φυσική παρουσία ή μέσω του διαδικτύου, με δυνατότητα συνεργασίας και με εξωτερικούς παρόχους έναντι αμοιβής με ποσοστό επί των συναλλαγών.</w:t>
      </w:r>
    </w:p>
    <w:p>
      <w:pPr>
        <w:jc w:val="both"/>
      </w:pPr>
      <w:r>
        <w:rPr>
          <w:sz w:val="22"/>
          <w:szCs w:val="22"/>
        </w:rPr>
        <w:t xml:space="preserve">β) Τα έσοδα από την πώληση, παροχή άδειας χρήσης, διανομή, διάθεση και εν γένει εκμετάλλευση ακριβών και απλών αντιγράφων, κεραμικών ειδών, απομιμημάτων και συναφών ειδών, δημοσιευμάτων και εκδόσεων, οπτικοακουστικών έργων, έργων τέχνης, κοσμημάτων, παιχνιδιών και εν γένει εμπνευσμένων εφαρμογών με θέματα αρχαιολογικού περιεχομένου, που εκδίδονται ή παράγονται από τον Ο.Δ.Α.Π. ή κατ` εντολή του, ή πωλούνται από τον Ο.Δ.Α.Π. επί παρακαταθήκη, στην Ελλάδα ή στο εξωτερικό, στα πωλητήρια μουσείων της αλλοδαπής, όπου εκτίθενται μνημεία προερχόμενα από τον ελληνικό χώρο ή στο πλαίσιο περιοδικής έκθεσης που διοργανώνεται ή συνδιοργανώνεται από το Υπουργείο Πολιτισμού και Αθλητισμού, καθώς και τα έσοδα από τη διαχείριση δικαιωμάτων έκδοσης και μετάφρασης των εκδόσεων του Ο.Δ.Α.Π. στο εξωτερικό.</w:t>
      </w:r>
    </w:p>
    <w:p>
      <w:pPr>
        <w:jc w:val="both"/>
      </w:pPr>
      <w:r>
        <w:rPr>
          <w:sz w:val="22"/>
          <w:szCs w:val="22"/>
        </w:rPr>
        <w:t xml:space="preserve">γ) Τα έσοδα από την πώληση, μίσθωση, παροχή άδειας χρήσης κάθε είδους ψηφιακών ή μη εφαρμογών και συναφών ειδών ή υπηρεσιών, αντικειμένων και λοιπών καταναλωτικών ειδών που σχετίζονται με τους αρχαιολογικούς χώρους, τα μνημεία, τα μουσεία ή τα εκθέματά τους ή τις περιοδικές εκθέσεις, καθώς και τυποποιημένων – πιστοποιημένων προϊόντων της αγροδιατροφικής αλυσίδας, που παράγονται από τον Ο.Δ.Α.Π. ή κατ` εντολή του ή πωλούνται από τον Ο.Δ.Α.Π. επί παρακαταθήκη, με δυνατότητα συνεργασίας και με εξωτερικούς παρόχους έναντι αμοιβής με ποσοστό επί των συναλλαγών.</w:t>
      </w:r>
    </w:p>
    <w:p>
      <w:pPr>
        <w:jc w:val="both"/>
      </w:pPr>
      <w:r>
        <w:rPr>
          <w:sz w:val="22"/>
          <w:szCs w:val="22"/>
        </w:rPr>
        <w:t xml:space="preserve">δ) Τα έσοδα από έργα ή προγράμματα που διενεργούνται δυνάμει προγραμματικών συμβάσεων με άλλους δημόσιους φορείς ή δυνάμει συνεργασιών με ημεδαπούς ή διεθνείς οργανισμούς, μουσεία, επιστημονικούς ή εκπαιδευτικούς φορείς ή τρίτους.</w:t>
      </w:r>
    </w:p>
    <w:p>
      <w:pPr>
        <w:jc w:val="both"/>
      </w:pPr>
      <w:r>
        <w:rPr>
          <w:sz w:val="22"/>
          <w:szCs w:val="22"/>
        </w:rPr>
        <w:t xml:space="preserve">ε) Οι επιχορηγήσεις ή χρηματοδοτήσεις από την εγγραφή έργων, μελετών και δράσεων του Ο.Δ.Α.Π. στο πρόγραμμα δημόσιων επενδύσεων, από τη συμμετοχή σε προγράμματα και πρωτοβουλίες της Ευρωπαϊκής Ένωσης ή ευρωπαϊκών επενδυτικών φορέων και κάθε άλλος πόρος που προέρχεται από διεθνείς οργανισμούς και αναπτυξιακά ή διαρθρωτικά ταμεία.</w:t>
      </w:r>
    </w:p>
    <w:p>
      <w:pPr>
        <w:jc w:val="both"/>
      </w:pPr>
      <w:r>
        <w:rPr>
          <w:sz w:val="22"/>
          <w:szCs w:val="22"/>
        </w:rPr>
        <w:t xml:space="preserve">στ) Τα έσοδα από την έρευνα και ανάπτυξη καινοτόμων προγραμμάτων, την αξιοποίηση προϊόντων, υπηρεσιών και δυνατοτήτων σύγχρονης τεχνολογίας με αμοιβή για τους τελικούς χρήστες, την εκμετάλλευση διαφόρων μορφών προϊόντων πληροφορικής και ψηφιακής τεχνολογίας, και τη συμμετοχή σε εκθέσεις με είδη που διαχειρίζεται ο Ο.Δ.Α.Π.</w:t>
      </w:r>
    </w:p>
    <w:p>
      <w:pPr>
        <w:jc w:val="both"/>
      </w:pPr>
      <w:r>
        <w:rPr>
          <w:sz w:val="22"/>
          <w:szCs w:val="22"/>
        </w:rPr>
        <w:t xml:space="preserve">ζ) Καταργείται.</w:t>
      </w:r>
    </w:p>
    <w:p>
      <w:pPr>
        <w:jc w:val="both"/>
      </w:pPr>
      <w:r>
        <w:rPr>
          <w:sz w:val="22"/>
          <w:szCs w:val="22"/>
        </w:rPr>
        <w:t xml:space="preserve">η) Τα έσοδα από την εκμίσθωση, παραχώρηση χρήσης, εκμετάλλευση με ίδια μέσα ή από τρίτους ή από την με οποιονδήποτε τρόπο αξιοποίηση των ακινήτων ή ακαλύπτων χώρων καταστημάτων υγειονομικού ενδιαφέροντος, που βρίσκονται εντός αρχαιολογικών χώρων και μουσείων και παντός ακινήτου και χώρου του Ελληνικού Δημοσίου που ανήκει κατά κυριότητα ή διαχείριση στο Υπουργείο Πολιτισμού και Αθλητισμού ή στον Ο.Δ.Α.Π., καθώς και από μισθώματα που καταβάλλονται από υπαλλήλους του Υπουργείου Πολιτισμού και Αθλητισμού ή του Ο.Δ.Α.Π. που κατοικούν σε ακίνητα του Υπουργείου Πολιτισμού και Αθλητισμού, τα οποία τελούν σε διαχείριση του Ο.Δ.Α.Π., το ύψος των οποίων καθορίζεται από το Δ.Σ. του Ο.Δ.Α.Π.</w:t>
      </w:r>
    </w:p>
    <w:p>
      <w:pPr>
        <w:jc w:val="both"/>
      </w:pPr>
      <w:r>
        <w:rPr>
          <w:sz w:val="22"/>
          <w:szCs w:val="22"/>
        </w:rPr>
        <w:t xml:space="preserve">θ) Τα έσοδα από την επιβολή τέλους για την παραγωγή και χρήση απεικονίσεων μνημείων, εκθεμάτων μουσείων και συλλογών, τέλους κινηματογράφησης ή φωτογράφησης εντός των μουσείων, των μνημείων, των αρχαιολογικών χώρων και των ιστορικών τόπων και τέλους δημοσίευσης φωτογραφιών και χρήσης οπτικοακουστικού υλικού αρχαιολογικού περιεχομένου για εμπορική εκμετάλλευση, σε έντυπη ή ψηφιακή μορφή.</w:t>
      </w:r>
    </w:p>
    <w:p>
      <w:pPr>
        <w:jc w:val="both"/>
      </w:pPr>
      <w:r>
        <w:rPr>
          <w:sz w:val="22"/>
          <w:szCs w:val="22"/>
        </w:rPr>
        <w:t xml:space="preserve">ι) Τα έσοδα από την επιβολή τέλους για την πραγματοποίηση εκδηλώσεων εντός μνημείων, μουσείων, αρχαιολογικών χώρων, ιστορικών τόπων συμπεριλαμβανομένων επισκέψεων οργανωμένων ομάδων, εκτός του καθορισμένου ωραρίου.</w:t>
      </w:r>
    </w:p>
    <w:p>
      <w:pPr>
        <w:jc w:val="both"/>
      </w:pPr>
      <w:r>
        <w:rPr>
          <w:sz w:val="22"/>
          <w:szCs w:val="22"/>
        </w:rPr>
        <w:t xml:space="preserve">ια) Τα έσοδα από εκθέσεις, σεμινάρια, επιστημονικά συνέδρια και πάσης φύσεως πολιτιστικές εκδηλώσεις εντός αρχαιολογικών χώρων, ιστορικών τόπων και μουσείων που διοργανώνει ο Ο.Δ.Α.Π., το Υπουργείο Πολιτισμού και Αθλητισμού ή τρίτοι, από την πιστοποίηση ιδιωτών κατασκευαστών απλών αντιγράφων εκθεμάτων μουσείων, από τη διοργάνωση εκπαιδευτικών προγραμμάτων, συνεδρίων, εργαστηριακών επισκέψεων, ξεναγήσεων, και από την ίδρυση και λειτουργία προγραμμάτων σπουδών σε συνεργασία με εκπαιδευτικά ιδρύματα.</w:t>
      </w:r>
    </w:p>
    <w:p>
      <w:pPr>
        <w:jc w:val="both"/>
      </w:pPr>
      <w:r>
        <w:rPr>
          <w:sz w:val="22"/>
          <w:szCs w:val="22"/>
        </w:rPr>
        <w:t xml:space="preserve">ιβ) Χορηγίες και δωρεές ή κληροδοτήματα καταλειπόμενα στον Ο.Δ.Α.Π.</w:t>
      </w:r>
    </w:p>
    <w:p>
      <w:pPr>
        <w:jc w:val="both"/>
      </w:pPr>
      <w:r>
        <w:rPr>
          <w:sz w:val="22"/>
          <w:szCs w:val="22"/>
        </w:rPr>
        <w:t xml:space="preserve">ιγ) Χρηματικές ποινές ή πρόστιμα που επιβάλλονται σύμφωνα με τις παρ. 5 και 6 του άρθρου 15 του παρόντος νόμου και σύμφωνα με το άρθρο 72 του Κώδικα νομοθεσίας για την προστασία των αρχαιοτήτων και εν γένει της πολιτιστικής κληρονομιάς (ν. 4858/2021, Α` 220).</w:t>
      </w:r>
    </w:p>
    <w:p>
      <w:pPr>
        <w:jc w:val="both"/>
      </w:pPr>
      <w:r>
        <w:rPr>
          <w:sz w:val="22"/>
          <w:szCs w:val="22"/>
        </w:rPr>
        <w:t xml:space="preserve">ιδ) Ποσοστό από τα έσοδα του Μουσείου Ακρόπολης, σύμφωνα με την παρ. 3 του άρθρου 4 του ν. 3711/2008 (Α` 224), και ποσοστό από τα έσοδα εποπτευόμενων Ν.Π.Δ.Δ. του Υπουργείου Πολιτισμού</w:t>
      </w:r>
    </w:p>
    <w:p>
      <w:pPr>
        <w:jc w:val="both"/>
      </w:pPr>
      <w:r>
        <w:rPr>
          <w:sz w:val="22"/>
          <w:szCs w:val="22"/>
        </w:rPr>
        <w:t xml:space="preserve">ιε) Έκτακτη επιχορήγηση από το Υπουργείο Πολιτισμού και Αθλητισμού για συγκεκριμένο σκοπό ή στην περίπτωση που τα έσοδα από τη λειτουργία του Ο.Δ.Α.Π. δεν επαρκούν για την κάλυψη των βασικών λειτουργικών αναγκών του, λόγω απρόβλεπτων καταστάσεων.</w:t>
      </w:r>
    </w:p>
    <w:p>
      <w:pPr>
        <w:numPr>
          <w:ilvl w:val="0"/>
          <w:numId w:val="40"/>
        </w:numPr>
      </w:pPr>
      <w:r>
        <w:rPr>
          <w:sz w:val="22"/>
          <w:szCs w:val="22"/>
        </w:rPr>
        <w:t xml:space="preserve">Η διαδικασία παραγωγής και επιλογής ειδών παραγωγής τρίτων που προορίζονται για πώληση και διάθεση από τα πωλητήρια του Ο.Δ.Α.Π. και τα θέματα που αφορούν στον τρόπο καταβολής τελών χρήσης και απόδοσης ποσοστών από τις πωλήσεις, καθορίζονται με απόφαση του Υπουργού Πολιτισμού, η οποία εκδίδεται ύστερα από γνώμη του Δ.Σ. της ανώνυμης εταιρείας με την επωνυμία «Οργανισμός Ανάπτυξης και Διαχείρισης Ελληνικής Πολιτιστικής Κληρονομιάς Α.Ε.».</w:t>
      </w:r>
    </w:p>
    <w:p>
      <w:pPr>
        <w:jc w:val="both"/>
      </w:pPr>
      <w:r>
        <w:rPr>
          <w:sz w:val="22"/>
          <w:szCs w:val="22"/>
          <w:b w:val="1"/>
          <w:bCs w:val="1"/>
        </w:rPr>
        <w:t xml:space="preserve"> </w:t>
      </w:r>
    </w:p>
    <w:p>
      <w:pPr>
        <w:jc w:val="both"/>
      </w:pPr>
      <w:r>
        <w:rPr>
          <w:sz w:val="22"/>
          <w:szCs w:val="22"/>
          <w:b w:val="1"/>
          <w:bCs w:val="1"/>
        </w:rPr>
        <w:t xml:space="preserve">Άρθρο 39</w:t>
      </w:r>
    </w:p>
    <w:p>
      <w:pPr>
        <w:jc w:val="both"/>
      </w:pPr>
      <w:r>
        <w:rPr>
          <w:sz w:val="22"/>
          <w:szCs w:val="22"/>
          <w:b w:val="1"/>
          <w:bCs w:val="1"/>
        </w:rPr>
        <w:t xml:space="preserve">Τροποποίηση της διαδικασίας καθορισμού εσόδων του Οργανισμού Ανάπτυξης και Διαχείρισης Πολιτιστικών Πόρων – Τροποποίηση παρ. 1 και 2 άρθρου 15 ν. 4761/2020</w:t>
      </w:r>
    </w:p>
    <w:p>
      <w:pPr>
        <w:jc w:val="both"/>
      </w:pPr>
      <w:r>
        <w:rPr>
          <w:sz w:val="22"/>
          <w:szCs w:val="22"/>
        </w:rPr>
        <w:t xml:space="preserve">Στο άρθρο 15 του ν. 4761/2020 (Α΄ 248), περί διαδικασίας καθορισμού εσόδων του Οργανισμού Διαχείρισης και Ανάπτυξης Πολιτιστικών Πόρων, επέρχονται οι ακόλουθες τροποποιήσεις: α) στην παρ. 1, αα) οι λέξεις «οι περιπτώσεις στις οποίες επιτρέπεται η δωρεάν ή με έκπτωση διάθεση των πωλητέων ειδών και το ποσοστό της» διαγράφονται, αβ) μετά από τις λέξεις «με απόφαση του Δ.Σ.» προστίθενται οι λέξεις «κατά την παρ. 13 του άρθρου 45», β) στην παρ. 2, βα) στο πρώτο εδάφιο, μετά από τις λέξεις «καθορίζονται ενιαία ή μεμονωμένα» προστίθενται οι λέξεις «με την απόφαση της περ. α) της παρ. 14 του άρθρου 45», ββ) στο δεύτερο εδάφιο οι λέξεις «με κοινή απόφαση των Υπουργών Οικονομικών και Πολιτισμού και Αθλητισμού, η οποία εκδίδεται ύστερα από πρόταση του Δ.Σ. του Ο.Δ.Α.Π. και γνώμη του αρμοδίου Κεντρικού Συμβουλίου του Κώδικα νομοθεσίας για την προστασία των αρχαιοτήτων και εν γένει της πολιτιστικής κληρονομιάς (ν. 4858/2021, Α΄ 220), σύμφωνα με την προβλεπόμενη από τις διατάξεις του ίδιου νόμου διαδικασία» αντικαθίστανται από τις λέξεις «με την κοινή απόφαση της περ. β) της παρ. 14 του άρθρου 45» και οι παρ. 1 και 2 διαμορφώνονται ως εξής:</w:t>
      </w:r>
    </w:p>
    <w:p>
      <w:pPr>
        <w:jc w:val="both"/>
      </w:pPr>
      <w:r>
        <w:rPr>
          <w:sz w:val="22"/>
          <w:szCs w:val="22"/>
        </w:rPr>
        <w:t xml:space="preserve">«1. Με την επιφύλαξη των παρ. 2 έως 9, τα έσοδα του Ο.Δ.Α.Π., καθώς και οι όροι και οι προϋποθέσεις διακανονισμού οφειλών καθορίζονται με απόφαση του Δ.Σ. κατά την παρ. 13 του άρθρου 45.</w:t>
      </w:r>
    </w:p>
    <w:p>
      <w:pPr>
        <w:numPr>
          <w:ilvl w:val="0"/>
          <w:numId w:val="41"/>
        </w:numPr>
      </w:pPr>
      <w:r>
        <w:rPr>
          <w:sz w:val="22"/>
          <w:szCs w:val="22"/>
        </w:rPr>
        <w:t xml:space="preserve">Οι ημέρες και οι ώρες επίσκεψης στους αρχαιολογικούς χώρους και τα μουσεία των περ. στ) έως ι) του άρθρου 28 του π.δ. 4/2018 (Α` 7) καθορίζονται ενιαία ή μεμονωμένα με την απόφαση της περ. α) της παρ. 14 του άρθρου 45. Η τιμή και ο τύπος, μεμονωμένα ή ενιαία, των εισιτηρίων εισόδου σε μουσεία, αρχαιολογικούς χώρους και μνημεία, οι κατηγορίες των προσώπων που απαλλάσσονται εν όλω ή εν μέρει της πληρωμής εισιτηρίου, οι ημέρες της ελεύθερης επίσκεψης του κοινού και το αντίτιμο των τελικών χρηστών από την παροχή υπηρεσιών στο κοινό σε αρχαιολογικούς χώρους, μουσεία και μνημεία με φυσική παρουσία ή μέσω διαδικτύου καθορίζονται με την κοινή απόφαση της περ. β) παρ. 14 του άρθρου 45.».</w:t>
      </w:r>
    </w:p>
    <w:p>
      <w:pPr>
        <w:jc w:val="both"/>
      </w:pPr>
      <w:r>
        <w:rPr>
          <w:sz w:val="22"/>
          <w:szCs w:val="22"/>
          <w:b w:val="1"/>
          <w:bCs w:val="1"/>
        </w:rPr>
        <w:t xml:space="preserve"> </w:t>
      </w:r>
    </w:p>
    <w:p>
      <w:pPr>
        <w:jc w:val="both"/>
      </w:pPr>
      <w:r>
        <w:rPr>
          <w:sz w:val="22"/>
          <w:szCs w:val="22"/>
          <w:b w:val="1"/>
          <w:bCs w:val="1"/>
        </w:rPr>
        <w:t xml:space="preserve">Άρθρο 40</w:t>
      </w:r>
    </w:p>
    <w:p>
      <w:pPr>
        <w:jc w:val="both"/>
      </w:pPr>
      <w:r>
        <w:rPr>
          <w:sz w:val="22"/>
          <w:szCs w:val="22"/>
          <w:b w:val="1"/>
          <w:bCs w:val="1"/>
        </w:rPr>
        <w:t xml:space="preserve">Τροποποίηση των δαπανών του Οργανισμού Ανάπτυξης και Διαχείρισης Πολιτιστικών Πόρων με σκοπό τη χρηματοδότηση της Εταιρείας – Τροποποίηση άρθρου 16 ν. 4761/2020</w:t>
      </w:r>
    </w:p>
    <w:p>
      <w:pPr>
        <w:jc w:val="both"/>
      </w:pPr>
      <w:r>
        <w:rPr>
          <w:sz w:val="22"/>
          <w:szCs w:val="22"/>
        </w:rPr>
        <w:t xml:space="preserve">Στο άρθρο 16 του ν. 4761/2020 (Α΄ 248), περί δαπανών του Οργανισμού Διαχείρισης και Ανάπτυξης Πολιτιστικών Πόρων, επέρχονται οι ακόλουθες τροποποιήσεις: α) στο εισαγωγικό εδάφιο, μετά από τις λέξεις «των σκοπών του» προστίθενται οι λέξεις «που εκπληρώνονται από τον ίδιο ή μέσω της ανώνυμης εταιρείας με την επωνυμία «Οργανισμός Ανάπτυξης και Διαχείρισης Ελληνικής Πολιτιστικής Κληρονομιάς Α.Ε.»», β) στην περ. δ), μετά από τις λέξεις «για πολιτιστικούς σκοπούς,» προστίθενται οι λέξεις «και αποζημιώσεων για ρυμοτομικές απαλλοτριώσεις ακινήτων προς ωφέλεια του Υπουργείου Πολιτισμού,», γ) η περ. θ) καταργείται, δ) μετά από την περ. κβ) προστίθενται περ. κγ), κδ), κε) και κστ) και το άρθρο 16 διαμορφώνεται ως εξής:</w:t>
      </w:r>
    </w:p>
    <w:p>
      <w:pPr>
        <w:jc w:val="both"/>
      </w:pPr>
      <w:r>
        <w:rPr>
          <w:sz w:val="22"/>
          <w:szCs w:val="22"/>
        </w:rPr>
        <w:t xml:space="preserve">«Άρθρο 16</w:t>
      </w:r>
    </w:p>
    <w:p>
      <w:pPr>
        <w:jc w:val="both"/>
      </w:pPr>
      <w:r>
        <w:rPr>
          <w:sz w:val="22"/>
          <w:szCs w:val="22"/>
        </w:rPr>
        <w:t xml:space="preserve">Δαπάνες</w:t>
      </w:r>
    </w:p>
    <w:p>
      <w:pPr>
        <w:jc w:val="both"/>
      </w:pPr>
      <w:r>
        <w:rPr>
          <w:sz w:val="22"/>
          <w:szCs w:val="22"/>
        </w:rPr>
        <w:t xml:space="preserve">Ο Ο.Δ.Α.Π. προβαίνει σε δαπάνες για την εκπλήρωση των σκοπών του, που εκπληρώνονται από τον ίδιο ή μέσω της ανώνυμης εταιρείας με την επωνυμία «Οργανισμός Ανάπτυξης και Διαχείρισης Ελληνικής Πολιτιστικής Κληρονομιάς Α.Ε.», ιδίως για:</w:t>
      </w:r>
    </w:p>
    <w:p>
      <w:pPr>
        <w:jc w:val="both"/>
      </w:pPr>
      <w:r>
        <w:rPr>
          <w:sz w:val="22"/>
          <w:szCs w:val="22"/>
        </w:rPr>
        <w:t xml:space="preserve">α) Την πληρωμή των αποδοχών, μισθών, επιδομάτων και αποζημιώσεων, αμοιβών ή αντιμισθιών στο προσωπικό του,</w:t>
      </w:r>
    </w:p>
    <w:p>
      <w:pPr>
        <w:jc w:val="both"/>
      </w:pPr>
      <w:r>
        <w:rPr>
          <w:sz w:val="22"/>
          <w:szCs w:val="22"/>
        </w:rPr>
        <w:t xml:space="preserve">β) την πληρωμή επιδόματος προς υπαλλήλους του Ο.Δ.Α.Π. ή του Υπουργείου Πολιτισμού, που ασκούν χρέη διαχειριστή εσόδων ή επόπτη ή Προϊσταμένου περιφερειακού γραφείου, ύψους εκατό (100) ευρώ μηνιαίως,</w:t>
      </w:r>
    </w:p>
    <w:p>
      <w:pPr>
        <w:jc w:val="both"/>
      </w:pPr>
      <w:r>
        <w:rPr>
          <w:sz w:val="22"/>
          <w:szCs w:val="22"/>
        </w:rPr>
        <w:t xml:space="preserve">γ) την καταβολή αποζημιώσεων σε υπαλλήλους του Κλάδου ΠΕ Αρχαιολόγων, ΠΕ Μηχανικών και ΤΕ Συντηρητών Έργων Τέχνης και Αρχαιοτήτων του Υπουργείου Πολιτισμού, σύμφωνα με το ν.δ. 1521/1942 (Α’ 186), για την απασχόλησή τους στο πλαίσιο της επιστημονικής επεξεργασίας θεμάτων των υπηρεσιών του Υπουργείου Πολιτισμού, κατόπιν έγκρισης από το αρμόδιο συλλογικό όργανο που συστήνει το Υπουργείο, στην οποία τεκμηριώνεται το εύλογο της δαπάνης,</w:t>
      </w:r>
    </w:p>
    <w:p>
      <w:pPr>
        <w:jc w:val="both"/>
      </w:pPr>
      <w:r>
        <w:rPr>
          <w:sz w:val="22"/>
          <w:szCs w:val="22"/>
        </w:rPr>
        <w:t xml:space="preserve">δ) την καταβολή αποζημιώσεων για απαλλοτριώσεις ή απευθείας εξαγορές ακινήτων υπέρ του ελληνικού Δημοσίου, για πολιτιστικούς σκοπούς, και αποζημιώσεων για ρυμοτομικές απαλλοτριώσεις ακινήτων προς ωφέλεια του Υπουργείου Πολιτισμού, καθώς και την καταβολή αποζημίωσης στέρησης χρήσης στις περιπτώσεις του άρθρου 19 του Κώδικα νομοθεσίας για την προστασία των αρχαιοτήτων και εν γένει της πολιτιστικής κληρονομιάς (ν. 4858/2021, Α’ 220), και την κάλυψη εξόδων κατεδάφισης των κτισμάτων που ευρίσκονται σε αυτά,</w:t>
      </w:r>
    </w:p>
    <w:p>
      <w:pPr>
        <w:jc w:val="both"/>
      </w:pPr>
      <w:r>
        <w:rPr>
          <w:sz w:val="22"/>
          <w:szCs w:val="22"/>
        </w:rPr>
        <w:t xml:space="preserve">ε) την αγορά ή τη μίσθωση ακινήτων για πολιτιστικούς σκοπούς και για την εξυπηρέτηση των σκοπών του Ο.Δ.Α.Π.,</w:t>
      </w:r>
    </w:p>
    <w:p>
      <w:pPr>
        <w:jc w:val="both"/>
      </w:pPr>
      <w:r>
        <w:rPr>
          <w:sz w:val="22"/>
          <w:szCs w:val="22"/>
        </w:rPr>
        <w:t xml:space="preserve">στ) τη λειτουργία των γραφείων, εργαστηρίων, εκθετηρίων, πωλητηρίων και λοιπών υπηρεσιών του Ο.Δ.Α.Π., την αναβάθμιση των υποδομών και της προμήθειας του εξοπλισμού τους, εκτός των δαπανών καθαριότητας, ύδρευσης, ρευματοδότησης και δαπανών για εργασίες συντήρησης μικρής κλίμακας των πωλητηρίων που λειτουργούν εντός αρχαιολογικών χώρων ή μουσείων, για τις οποίες μεριμνούν οι αρμόδιες Εφορείες Αρχαιοτήτων ή οι Διευθύνσεις των μουσείων,</w:t>
      </w:r>
    </w:p>
    <w:p>
      <w:pPr>
        <w:jc w:val="both"/>
      </w:pPr>
      <w:r>
        <w:rPr>
          <w:sz w:val="22"/>
          <w:szCs w:val="22"/>
        </w:rPr>
        <w:t xml:space="preserve">ζ) την αγορά, μίσθωση και συντήρηση οχημάτων, όπως αυτοκινήτων και δικύκλων του Ο.Δ.Α.Π., και των υπηρεσιών των Γενικών Διευθύνσεων Αρχαιοτήτων και Πολιτιστικής Κληρονομιάς και Αναστήλωσης, Μουσείων και Τεχνικών Έργων,</w:t>
      </w:r>
    </w:p>
    <w:p>
      <w:pPr>
        <w:jc w:val="both"/>
      </w:pPr>
      <w:r>
        <w:rPr>
          <w:sz w:val="22"/>
          <w:szCs w:val="22"/>
        </w:rPr>
        <w:t xml:space="preserve">η) την αγορά πρώτων υλών και εξοπλισμού απαραιτήτων για τη λειτουργία των εργαστηρίων, των δημοσιευμάτων και την προμήθεια ή κατ’ εντολή παραγωγή αναμνηστικών, χρηστικών και πολιτιστικών αντικειμένων και πάσης φύσεως πωλητέων ειδών για διάθεση από τα πωλητήρια, καθώς και τυποποιημένων αγροδιατροφικών προϊόντων που προέρχονται από την πρωτογενή παραγωγή της περιοχής όπου λειτουργούν τα πωλητήρια,</w:t>
      </w:r>
    </w:p>
    <w:p>
      <w:pPr>
        <w:jc w:val="both"/>
      </w:pPr>
      <w:r>
        <w:rPr>
          <w:sz w:val="22"/>
          <w:szCs w:val="22"/>
        </w:rPr>
        <w:t xml:space="preserve">θ) καταργείται,</w:t>
      </w:r>
    </w:p>
    <w:p>
      <w:pPr>
        <w:jc w:val="both"/>
      </w:pPr>
      <w:r>
        <w:rPr>
          <w:sz w:val="22"/>
          <w:szCs w:val="22"/>
        </w:rPr>
        <w:t xml:space="preserve">ι) τη διενέργεια χρηματαποστολών από τα σημεία εισπράξεων προς τραπεζικά καταστήματα, καθώς και μεταφορών εισιτηρίων, εντύπου υλικού, απαραίτητων ειδών, υλικών και εξοπλισμού, για την αποτελεσματική λειτουργία των εκδοτηρίων και των πωλητηρίων σε μουσεία και αρχαιολογικούς χώρους,</w:t>
      </w:r>
    </w:p>
    <w:p>
      <w:pPr>
        <w:jc w:val="both"/>
      </w:pPr>
      <w:r>
        <w:rPr>
          <w:sz w:val="22"/>
          <w:szCs w:val="22"/>
        </w:rPr>
        <w:t xml:space="preserve">ια) τη συμμετοχή σε πολιτιστικές δράσεις και εκθέσεις του εξωτερικού, την αποστολή και παράδοση εκδόσεων και πωλητέων ειδών σε Ελλάδα και εξωτερικό και τη διοργάνωση συνεδρίων και ημερίδων,</w:t>
      </w:r>
    </w:p>
    <w:p>
      <w:pPr>
        <w:jc w:val="both"/>
      </w:pPr>
      <w:r>
        <w:rPr>
          <w:sz w:val="22"/>
          <w:szCs w:val="22"/>
        </w:rPr>
        <w:t xml:space="preserve">ιβ) την προβολή της γενικότερης πολιτιστικής πολιτικής, των πωλούμενων ειδών και του έργου του, καθώς και του έργου της αρχαιολογικής υπηρεσίας, με κάθε μέσο,</w:t>
      </w:r>
    </w:p>
    <w:p>
      <w:pPr>
        <w:jc w:val="both"/>
      </w:pPr>
      <w:r>
        <w:rPr>
          <w:sz w:val="22"/>
          <w:szCs w:val="22"/>
        </w:rPr>
        <w:t xml:space="preserve">ιγ) την κατασκευή έργων για πρόληψη ζημιών, την προφύλαξη αρχαιολογικών χώρων και μουσείων, τη δημιουργία και συντήρηση κήπων και αλσών, τη διαμόρφωση και βελτίωση του περιβάλλοντος χώρου των μνημείων, καθώς και τις παρεμβάσεις μικρής κλίμακας για την αναβάθμιση του επιπέδου εξυπηρέτησης των επισκεπτών,</w:t>
      </w:r>
    </w:p>
    <w:p>
      <w:pPr>
        <w:jc w:val="both"/>
      </w:pPr>
      <w:r>
        <w:rPr>
          <w:sz w:val="22"/>
          <w:szCs w:val="22"/>
        </w:rPr>
        <w:t xml:space="preserve">ιδ) την ανέγερση, επισκευή και συντήρηση φυλακίων, εκδοτηρίων εισιτηρίων, πωλητηρίων, αναψυκτηρίων και λοιπών κτιρίων εξυπηρέτησης επισκεπτών, σε αρχαιολογικούς χώρους και μουσεία, καθώς και την πραγματοποίηση παρεμβάσεων στα σημεία εισόδου και εξόδου επισκεπτών,</w:t>
      </w:r>
    </w:p>
    <w:p>
      <w:pPr>
        <w:jc w:val="both"/>
      </w:pPr>
      <w:r>
        <w:rPr>
          <w:sz w:val="22"/>
          <w:szCs w:val="22"/>
        </w:rPr>
        <w:t xml:space="preserve">ιε) την έκδοση και διάθεση στο κοινό αρχαιολογικών και αρχαιογνωστικών δημοσιευμάτων, τη δημιουργία και λειτουργία ηλεκτρονικών βάσεων παροχής πρόσβασης και χρήσης αρχαιολογικών κειμένων και φωτογραφιών, τη μέριμνα συνδρομών σε εταιρείες παροχής πρόσβασης στο διαδίκτυο και επιστημονικές βάσεις δεδομένων, την εκπαίδευση και επιμόρφωση του προσωπικού του Ο.Δ.Α.Π., καθώς και συνδρομές σε διεθνείς ενώσεις και οργανισμούς στους οποίους συμμετέχει ο Ο.Δ.Α.Π.,</w:t>
      </w:r>
    </w:p>
    <w:p>
      <w:pPr>
        <w:jc w:val="both"/>
      </w:pPr>
      <w:r>
        <w:rPr>
          <w:sz w:val="22"/>
          <w:szCs w:val="22"/>
        </w:rPr>
        <w:t xml:space="preserve">ιστ) την καταβολή εργολαβικού ανταλλάγματος ή αμοιβών σε τρίτους για εκπόνηση πάσης φύσεως μελετών ή παροχή υπηρεσιών ή απόκτηση πνευματικών έργων και ψηφιακών εφαρμογών, καθώς και την προμήθεια πάσης φύσεως υλικών, αντικειμένων, αγαθών προς διάθεση από τα σημεία πώλησης ή εν γένει προς εκμετάλλευση από τον Ο.Δ.Α.Π., που γίνονται στο πλαίσιο των σκοπών του άρθρου 2,</w:t>
      </w:r>
    </w:p>
    <w:p>
      <w:pPr>
        <w:jc w:val="both"/>
      </w:pPr>
      <w:r>
        <w:rPr>
          <w:sz w:val="22"/>
          <w:szCs w:val="22"/>
        </w:rPr>
        <w:t xml:space="preserve">ιζ) την κάλυψη δαπάνης για αμοιβές, επιδόματα ή αποζημιώσεις που καταβάλλονται για την πέραν του πενθημέρου απασχόληση, την υπερωριακή απασχόληση καθ’ υπέρβαση του υποχρεωτικού ωραρίου, την εργασία κατά τις νυχτερινές ώρες ή κατά τις Κυριακές και εξαιρέσιμες ημέρες και πέραν των μηνιαίων τακτικών αποδοχών, όπως αυτές ορίζονται μέχρι την έναρξη ισχύος του παρόντος στο άρθρο 13 του ν. 4354/2015 (Α’ 176) του προσωπικού φύλαξης και του προσωπικού καθαριότητας του Υπουργείου Πολιτισμού που υπηρετεί σε μουσεία και αρχαιολογικούς χώρους, εξαιρουμένης της αποζημίωσης του προσωπικού που απασχολείται σε μουσεία, αρχαιολογικούς χώρους, ιστορικούς τόπους και μνημεία κατά τη διάρκεια πολιτιστικών εκδηλώσεων και επισκέψεων οργανωμένων ομάδων, οι οποίες πραγματοποιούνται μετά από τη λήξη του ημερήσιου ωραρίου λειτουργίας τους. Οι πιστώσεις εγγράφονται στον προϋπολογισμό του Ο.Δ.Α.Π., μετά από τεκμηριωμένο και κοστολογημένο αίτημα του Υπουργείου Πολιτισμού, οι υπηρεσίες του οποίου αποτελούν την προϊσταμένη αρχή του προσωπικού φύλαξης και καθαριότητας, καθώς και την αρχή ελέγχου του ωραρίου απασχόλησής του. Στο αίτημα προσδιορίζονται κατ’ έτος το δικαιούμενο αμοιβής προσωπικό, οι ακριβείς κατηγορίες των αμοιβών και ο προϋπολογισμός τους. Οι αμοιβές καταβάλλονται στους δικαιούχους που έχουν πραγματοποιήσει υπερωριακή απασχόληση κατ’ εντολή του Υπουργείου Πολιτισμού, κατόπιν έκδοσης και θεώρησης εντύπων καταστάσεων απασχόλησης με σαφή διάκριση των περιλαμβανόμενων όρων και ενιαία αποτύπωση αυτών, που χορηγείται από τους Προϊσταμένους των κατά τόπο ή καθ’ ύλην αρμόδιων Περιφερειακών Υπηρεσιών του Υπουργείου Πολιτισμού,</w:t>
      </w:r>
    </w:p>
    <w:p>
      <w:pPr>
        <w:jc w:val="both"/>
      </w:pPr>
      <w:r>
        <w:rPr>
          <w:sz w:val="22"/>
          <w:szCs w:val="22"/>
        </w:rPr>
        <w:t xml:space="preserve">ιη) την προμήθεια ιματισμού και ειδών ατομικής προστασίας, για την ομοιόμορφη ενδυμασία του προσωπικού των αρχαιολογικών χώρων, μνημείων και μουσείων,</w:t>
      </w:r>
    </w:p>
    <w:p>
      <w:pPr>
        <w:jc w:val="both"/>
      </w:pPr>
      <w:r>
        <w:rPr>
          <w:sz w:val="22"/>
          <w:szCs w:val="22"/>
        </w:rPr>
        <w:t xml:space="preserve">ιθ) την ασφάλιση και την ειδική πρόσθετη αμοιβή στο καταδυόμενο προσωπικό του ΥΠ.ΠΟ του άρθρου 51 του ν. 4278/2014 (Α’ 157),</w:t>
      </w:r>
    </w:p>
    <w:p>
      <w:pPr>
        <w:jc w:val="both"/>
      </w:pPr>
      <w:r>
        <w:rPr>
          <w:sz w:val="22"/>
          <w:szCs w:val="22"/>
        </w:rPr>
        <w:t xml:space="preserve">κ) τη χορήγηση αποζημίωσης στα μέλη, στους εισηγητές και στους γραμματείς του Κεντρικού Αρχαιολογικού Συμβουλίου, του Συμβουλίου Μουσείων και του Κεντρικού Συμβουλίου Νεοτέρων Μνημείων του ν. 4858/2021 (Α’ 220), για τη συμμετοχή τους στις συνεδριάσεις των οργάνων. Το ύψος και οι προϋποθέσεις χορήγησης της αποζημίωσης καθορίζονται με κοινή απόφαση των Υπουργών Εθνικής Οικονομίας και Οικονομικών και Πολιτισμού,</w:t>
      </w:r>
    </w:p>
    <w:p>
      <w:pPr>
        <w:jc w:val="both"/>
      </w:pPr>
      <w:r>
        <w:rPr>
          <w:sz w:val="22"/>
          <w:szCs w:val="22"/>
        </w:rPr>
        <w:t xml:space="preserve">κα) τον εμπλουτισμό των βιβλιοθηκών των υπηρεσιών της Γενικής Διεύθυνσης Αρχαιοτήτων και Πολιτιστικής Κληρονομιάς του Υπουργείου Πολιτισμού, μέσω της αγοράς επιστημονικών εντύπων, της διάθεσης των επιστημονικών εκδόσεων του Ο.Δ.Α.Π. στα μέλη της αρχαιολογικής υπηρεσίας, και τη διασφάλιση της πρόσβασης σε επιστημονικές βάσεις δεδομένων,</w:t>
      </w:r>
    </w:p>
    <w:p>
      <w:pPr>
        <w:jc w:val="both"/>
      </w:pPr>
      <w:r>
        <w:rPr>
          <w:sz w:val="22"/>
          <w:szCs w:val="22"/>
        </w:rPr>
        <w:t xml:space="preserve">κβ) τη συνδιοργάνωση ή χρηματοδότηση πρωτοβουλιών, προγραμμάτων, εκθέσεων και εκδηλώσεων του Ο.Δ.Α.Π., της αρχαιολογικής υπηρεσίας και λοιπών φορέων, με στόχο την προστασία, ανάδειξη και προβολή της πολιτιστικής κληρονομιάς, καθώς και τη σύνδεσή της με τη σύγχρονη πολιτιστική δημιουργία.</w:t>
      </w:r>
    </w:p>
    <w:p>
      <w:pPr>
        <w:jc w:val="both"/>
      </w:pPr>
      <w:r>
        <w:rPr>
          <w:sz w:val="22"/>
          <w:szCs w:val="22"/>
        </w:rPr>
        <w:t xml:space="preserve">κγ) την τακτική και έκτακτη χρηματοδότηση της ανώνυμης εταιρείας με την επωνυμία «Οργανισμός Ανάπτυξης και Διαχείρισης Ελληνικής Πολιτιστικής Κληρονομιάς Α.Ε.»,</w:t>
      </w:r>
    </w:p>
    <w:p>
      <w:pPr>
        <w:jc w:val="both"/>
      </w:pPr>
      <w:r>
        <w:rPr>
          <w:sz w:val="22"/>
          <w:szCs w:val="22"/>
        </w:rPr>
        <w:t xml:space="preserve">κδ) την καταβολή διαχειριστικής αμοιβής στην ανώνυμη εταιρεία με την επωνυμία «Οργανισμός Ανάπτυξης και Διαχείρισης Ελληνικής Πολιτιστικής Κληρονομιάς Α.Ε.» για τα έργα και τις εργασίες που υλοποιεί και τις υποθέσεις που διαχειρίζεται, στο όνομα και για λογαριασμό του Ο.Δ.Α.Π., στο πλαίσιο της εκπλήρωσης της αποστολής της, στην οποία περιλαμβάνεται και το ποσό για την κάλυψη των λειτουργικών δαπανών της,</w:t>
      </w:r>
    </w:p>
    <w:p>
      <w:pPr>
        <w:jc w:val="both"/>
      </w:pPr>
      <w:r>
        <w:rPr>
          <w:sz w:val="22"/>
          <w:szCs w:val="22"/>
        </w:rPr>
        <w:t xml:space="preserve">κε) την καταβολή των επιδομάτων των παρ. 3 και 5 του άρθρου 23 στους υπαλλήλους της ανώνυμης εταιρείας με την επωνυμία «Οργανισμός Ανάπτυξης και Διαχείρισης Ελληνικής Πολιτιστικής Κληρονομιάς Α.Ε.» που ασκούν καθήκοντα διαχειριστή εσόδων και ταμία,</w:t>
      </w:r>
    </w:p>
    <w:p>
      <w:pPr>
        <w:jc w:val="both"/>
      </w:pPr>
      <w:r>
        <w:rPr>
          <w:sz w:val="22"/>
          <w:szCs w:val="22"/>
        </w:rPr>
        <w:t xml:space="preserve">κστ) την κάλυψη της δαπάνης αποζημίωσης, κατ’ εφαρμογή του άρθρου 20 του ν. 4354/2015 (Α΄ 176), περί αποζημίωσης για εργασία καθ’ υπέρβαση ή προς συμπλήρωση του υποχρεωτικού ωραρίου, των υπαλλήλων της ανώνυμης εταιρείας που απασχολούνται στη λειτουργία του συστήματος ηλεκτρονικού εισιτηρίου για εργασία πέραν του πενθημέρου ή καθ’ υπέρβαση του υποχρεωτικού ωραρίου, καθώς και για εργασία κατά τις νυχτερινές ώρες ή κατά τις Κυριακές και εξαιρέσιμες ημέρες.».</w:t>
      </w:r>
    </w:p>
    <w:p>
      <w:pPr>
        <w:jc w:val="both"/>
      </w:pPr>
      <w:r>
        <w:rPr>
          <w:sz w:val="22"/>
          <w:szCs w:val="22"/>
        </w:rPr>
        <w:t xml:space="preserve"> </w:t>
      </w:r>
    </w:p>
    <w:p>
      <w:pPr>
        <w:jc w:val="both"/>
      </w:pPr>
      <w:r>
        <w:rPr>
          <w:sz w:val="22"/>
          <w:szCs w:val="22"/>
          <w:b w:val="1"/>
          <w:bCs w:val="1"/>
        </w:rPr>
        <w:t xml:space="preserve">Άρθρο 41</w:t>
      </w:r>
    </w:p>
    <w:p>
      <w:pPr>
        <w:jc w:val="both"/>
      </w:pPr>
      <w:r>
        <w:rPr>
          <w:sz w:val="22"/>
          <w:szCs w:val="22"/>
          <w:b w:val="1"/>
          <w:bCs w:val="1"/>
        </w:rPr>
        <w:t xml:space="preserve">Μετονομασία του Τμήματος Νομικής Υποστήριξης του Οργανισμού Διαχείρισης και Ανάπτυξης Πολιτιστικών Πόρων σε Γραφείο Νομικής Υποστήριξης – Τροποποίηση παρ. 3 άρθρου 19 ν. 4761/2020</w:t>
      </w:r>
    </w:p>
    <w:p>
      <w:pPr>
        <w:jc w:val="both"/>
      </w:pPr>
      <w:r>
        <w:rPr>
          <w:sz w:val="22"/>
          <w:szCs w:val="22"/>
        </w:rPr>
        <w:t xml:space="preserve">Στην παρ. 3 του άρθρου 19 του ν. 4761/2020 (Α΄ 248), περί διάρθρωσης υπηρεσιών του Οργανισμού Διαχείρισης και Ανάπτυξης Πολιτιστικών Πόρων, η λέξη «Τμήμα» αντικαθίσταται από τη λέξη «Γραφείο» και η παρ. 3 διαμορφώνεται ως εξής:</w:t>
      </w:r>
    </w:p>
    <w:p>
      <w:pPr>
        <w:jc w:val="both"/>
      </w:pPr>
      <w:r>
        <w:rPr>
          <w:sz w:val="22"/>
          <w:szCs w:val="22"/>
        </w:rPr>
        <w:t xml:space="preserve"> </w:t>
      </w:r>
    </w:p>
    <w:p>
      <w:pPr>
        <w:jc w:val="both"/>
      </w:pPr>
      <w:r>
        <w:rPr>
          <w:sz w:val="22"/>
          <w:szCs w:val="22"/>
        </w:rPr>
        <w:t xml:space="preserve">«3. Το αυτοτελές Τμήμα Επιθεωρήσεων και Εσωτερικών Ελέγχων και το Γραφείο Νομικής Υποστήριξης υπάγονται απευθείας στον Πρόεδρο του Δ.Σ.».</w:t>
      </w:r>
    </w:p>
    <w:p>
      <w:pPr>
        <w:jc w:val="both"/>
      </w:pPr>
      <w:r>
        <w:rPr>
          <w:sz w:val="22"/>
          <w:szCs w:val="22"/>
          <w:b w:val="1"/>
          <w:bCs w:val="1"/>
        </w:rPr>
        <w:t xml:space="preserve"> </w:t>
      </w:r>
    </w:p>
    <w:p>
      <w:pPr>
        <w:jc w:val="both"/>
      </w:pPr>
      <w:r>
        <w:rPr>
          <w:sz w:val="22"/>
          <w:szCs w:val="22"/>
          <w:b w:val="1"/>
          <w:bCs w:val="1"/>
        </w:rPr>
        <w:t xml:space="preserve">Άρθρο 42</w:t>
      </w:r>
    </w:p>
    <w:p>
      <w:pPr>
        <w:jc w:val="both"/>
      </w:pPr>
      <w:r>
        <w:rPr>
          <w:sz w:val="22"/>
          <w:szCs w:val="22"/>
          <w:b w:val="1"/>
          <w:bCs w:val="1"/>
        </w:rPr>
        <w:t xml:space="preserve">Τροποποίηση αρμοδιοτήτων του Τμήματος Σχεδιασμού και Παραγωγής Πολιτιστικών Εφαρμογών και του Τμήματος Πωλήσεων, Λειτουργίας Πωλητηρίων και Προβολής της Διεύθυνσης Πολιτιστικών Παραγωγών, Πωλήσεων και Προβολής της Γενικής Διεύθυνσης του Οργανισμού Διαχείρισης και Ανάπτυξης Πολιτιστικών Πόρων – Τροποποίηση παρ. 3 και 5 άρθρου 21 ν. 4761/2020</w:t>
      </w:r>
    </w:p>
    <w:p>
      <w:pPr>
        <w:jc w:val="both"/>
      </w:pPr>
      <w:r>
        <w:rPr>
          <w:sz w:val="22"/>
          <w:szCs w:val="22"/>
        </w:rPr>
        <w:t xml:space="preserve">Στο άρθρο 21 του ν. 4761/2020 (Α΄ 248), περί διάρθρωσης της Διεύθυνσης Πολιτιστικών Παραγωγών, Πωλήσεων και Προβολής, επέρχονται οι ακόλουθες τροποποιήσεις: α) στην παρ. 3 οι λέξεις «τον σχεδιασμό και την παραγωγή» αντικαθίστανται από τις λέξεις «την παρακολούθηση του σχεδιασμού και της παραγωγής», β) στην παρ. 5, βα) οι λέξεις «την ανάπτυξη του δικτύου και την αποτελεσματική λειτουργία των πωλητηρίων, τον εφοδιασμό» αντικαθίστανται από τις λέξεις «την παρακολούθηση της ανάπτυξης του δικτύου και της αποτελεσματικής λειτουργίας των πωλητηρίων, του εφοδιασμού», ββ) οι λέξεις «τον σχεδιασμό και την εφαρμογή της πολιτικής πωλήσεων του Ο.Δ.Α.Π.» διαγράφονται και το άρθρο 21 διαμορφώνεται ως εξής:</w:t>
      </w:r>
    </w:p>
    <w:p>
      <w:pPr>
        <w:jc w:val="both"/>
      </w:pPr>
      <w:r>
        <w:rPr>
          <w:sz w:val="22"/>
          <w:szCs w:val="22"/>
        </w:rPr>
        <w:t xml:space="preserve">«Άρθρο 21</w:t>
      </w:r>
    </w:p>
    <w:p>
      <w:pPr>
        <w:jc w:val="both"/>
      </w:pPr>
      <w:r>
        <w:rPr>
          <w:sz w:val="22"/>
          <w:szCs w:val="22"/>
        </w:rPr>
        <w:t xml:space="preserve">Διάρθρωση Διεύθυνσης Πολιτιστικών Παραγωγών, Πωλήσεων και Προβολής</w:t>
      </w:r>
    </w:p>
    <w:p>
      <w:pPr>
        <w:numPr>
          <w:ilvl w:val="0"/>
          <w:numId w:val="42"/>
        </w:numPr>
      </w:pPr>
      <w:r>
        <w:rPr>
          <w:sz w:val="22"/>
          <w:szCs w:val="22"/>
        </w:rPr>
        <w:t xml:space="preserve">Η Διεύθυνση Πολιτιστικών Παραγωγών, Πωλήσεων και Προβολής διαρθρώνεται σε πέντε (5) Τμήματα, ως εξής:</w:t>
      </w:r>
    </w:p>
    <w:p>
      <w:pPr>
        <w:jc w:val="both"/>
      </w:pPr>
      <w:r>
        <w:rPr>
          <w:sz w:val="22"/>
          <w:szCs w:val="22"/>
        </w:rPr>
        <w:t xml:space="preserve">α) Τμήμα Παραγωγής Ακριβών Αντιγράφων και Μοντελοθήκης Γλυπτοθήκης.</w:t>
      </w:r>
    </w:p>
    <w:p>
      <w:pPr>
        <w:jc w:val="both"/>
      </w:pPr>
      <w:r>
        <w:rPr>
          <w:sz w:val="22"/>
          <w:szCs w:val="22"/>
        </w:rPr>
        <w:t xml:space="preserve">β) Τμήμα Σχεδιασμού και Παραγωγής Πολιτιστικών Εφαρμογών.</w:t>
      </w:r>
    </w:p>
    <w:p>
      <w:pPr>
        <w:jc w:val="both"/>
      </w:pPr>
      <w:r>
        <w:rPr>
          <w:sz w:val="22"/>
          <w:szCs w:val="22"/>
        </w:rPr>
        <w:t xml:space="preserve">γ) Τμήμα Αποθήκευσης και Διακίνησης Προϊόντων και Βιβλίων.</w:t>
      </w:r>
    </w:p>
    <w:p>
      <w:pPr>
        <w:jc w:val="both"/>
      </w:pPr>
      <w:r>
        <w:rPr>
          <w:sz w:val="22"/>
          <w:szCs w:val="22"/>
        </w:rPr>
        <w:t xml:space="preserve">δ) Τμήμα Πωλήσεων, Λειτουργίας Πωλητηρίων και Προβολής.</w:t>
      </w:r>
    </w:p>
    <w:p>
      <w:pPr>
        <w:jc w:val="both"/>
      </w:pPr>
      <w:r>
        <w:rPr>
          <w:sz w:val="22"/>
          <w:szCs w:val="22"/>
        </w:rPr>
        <w:t xml:space="preserve">ε) Τμήμα Παρακαταθηκών.</w:t>
      </w:r>
    </w:p>
    <w:p>
      <w:pPr>
        <w:numPr>
          <w:ilvl w:val="0"/>
          <w:numId w:val="43"/>
        </w:numPr>
      </w:pPr>
      <w:r>
        <w:rPr>
          <w:sz w:val="22"/>
          <w:szCs w:val="22"/>
        </w:rPr>
        <w:t xml:space="preserve">Το Τμήμα Παραγωγής Ακριβών Αντιγράφων και Μοντελοθήκης Γλυπτοθήκης είναι αρμόδιο για τη δημιουργία εκμαγείων και την παραγωγή με κάθε τρόπο και μέσο ακριβών (πιστών) αντιγράφων αρχαίων και εκθεμάτων.</w:t>
      </w:r>
    </w:p>
    <w:p>
      <w:pPr>
        <w:jc w:val="both"/>
      </w:pPr>
      <w:r>
        <w:rPr>
          <w:sz w:val="22"/>
          <w:szCs w:val="22"/>
        </w:rPr>
        <w:t xml:space="preserve">3.Το Τμήμα Σχεδιασμού και Παραγωγής Πολιτιστικών Εφαρμογών είναι αρμόδιο για την παρακολούθηση του σχεδιασμού και της παραγωγής πάσης φύσεως εμπνευσμένων εφαρμογών.</w:t>
      </w:r>
    </w:p>
    <w:p>
      <w:pPr>
        <w:numPr>
          <w:ilvl w:val="0"/>
          <w:numId w:val="44"/>
        </w:numPr>
      </w:pPr>
      <w:r>
        <w:rPr>
          <w:sz w:val="22"/>
          <w:szCs w:val="22"/>
        </w:rPr>
        <w:t xml:space="preserve">Το Τμήμα Αποθήκευσης και Αποστολής Προϊόντων και Βιβλίων είναι αρμόδιο για την οργάνωση της αποθήκης, την ασφάλεια και φύλαξη των ειδών που προορίζονται για τα πωλητήρια, το ηλεκτρονικό πωλητήριο και τα εκδοτήρια εισιτηρίων.</w:t>
      </w:r>
    </w:p>
    <w:p>
      <w:pPr>
        <w:numPr>
          <w:ilvl w:val="0"/>
          <w:numId w:val="44"/>
        </w:numPr>
      </w:pPr>
      <w:r>
        <w:rPr>
          <w:sz w:val="22"/>
          <w:szCs w:val="22"/>
        </w:rPr>
        <w:t xml:space="preserve">Το Τμήμα Πωλήσεων, Λειτουργίας Πωλητηρίων και Προβολής είναι αρμόδιο για την παρακολούθηση της ανάπτυξης του δικτύου και της αποτελεσματικής λειτουργίας των πωλητηρίων, του εφοδιασμού των πωλητηρίων με όλα τα απαραίτητα είδη, πιστά αντίγραφα και εμπνευσμένες εφαρμογές, της διασφάλισης της υψηλής ποιότητας των παρεχόμενων υπηρεσιών προς τους επισκέπτες των πωλητηρίων.»</w:t>
      </w:r>
    </w:p>
    <w:p>
      <w:pPr>
        <w:numPr>
          <w:ilvl w:val="0"/>
          <w:numId w:val="44"/>
        </w:numPr>
      </w:pPr>
      <w:r>
        <w:rPr>
          <w:sz w:val="22"/>
          <w:szCs w:val="22"/>
        </w:rPr>
        <w:t xml:space="preserve">Το Τμήμα Παρακαταθηκών είναι αρμόδιο για την υλοποίηση της διακίνησης και διάθεσης στα πωλητήρια του Ο.Δ.Α.Π. των ειδών παραγωγής τρίτων με το σύστημα της παρακαταθήκης.».</w:t>
      </w:r>
    </w:p>
    <w:p>
      <w:pPr>
        <w:jc w:val="both"/>
      </w:pPr>
      <w:r>
        <w:rPr>
          <w:sz w:val="22"/>
          <w:szCs w:val="22"/>
          <w:b w:val="1"/>
          <w:bCs w:val="1"/>
        </w:rPr>
        <w:t xml:space="preserve"> </w:t>
      </w:r>
    </w:p>
    <w:p>
      <w:pPr>
        <w:jc w:val="both"/>
      </w:pPr>
      <w:r>
        <w:rPr>
          <w:sz w:val="22"/>
          <w:szCs w:val="22"/>
          <w:b w:val="1"/>
          <w:bCs w:val="1"/>
        </w:rPr>
        <w:t xml:space="preserve">Άρθρο 43</w:t>
      </w:r>
    </w:p>
    <w:p>
      <w:pPr>
        <w:jc w:val="both"/>
      </w:pPr>
      <w:r>
        <w:rPr>
          <w:sz w:val="22"/>
          <w:szCs w:val="22"/>
          <w:b w:val="1"/>
          <w:bCs w:val="1"/>
        </w:rPr>
        <w:t xml:space="preserve">Οριοθέτηση αρμοδιοτήτων της Διεύθυνσης Εκδόσεων και Ψηφιακών Εφαρμογών του Οργανισμού Διαχείρισης και Ανάπτυξης Πολιτιστικών Πόρων – Προσθήκη τρίτου εδαφίου στην παρ. 3 του άρθρου 23 του ν. 4761/2020</w:t>
      </w:r>
    </w:p>
    <w:p>
      <w:pPr>
        <w:jc w:val="both"/>
      </w:pPr>
      <w:r>
        <w:rPr>
          <w:sz w:val="22"/>
          <w:szCs w:val="22"/>
        </w:rPr>
        <w:t xml:space="preserve">Στην παρ. 3 του άρθρου 23 του ν. 4761/2020 (Α΄ 248), περί διάρθρωσης της Διεύθυνσης Εκδόσεων και Ψηφιακών Εφαρμογών, προστίθεται τρίτο εδάφιο και η παρ. 3 διαμορφώνεται ως εξής:</w:t>
      </w:r>
    </w:p>
    <w:p>
      <w:pPr>
        <w:jc w:val="both"/>
      </w:pPr>
      <w:r>
        <w:rPr>
          <w:sz w:val="22"/>
          <w:szCs w:val="22"/>
        </w:rPr>
        <w:t xml:space="preserve">«3. Το Τμήμα Ανάπτυξης Ψηφιακών Εκδόσεων και Εφαρμογών είναι αρμόδιο, σε συνεργασία με το Τμήμα Πληροφοριακών Συστημάτων και Υποδομών και με τις καθ` ύλην αρμόδιες οργανικές μονάδες του Ο.Δ.Α.Π., για τις ψηφιακές εκδόσεις, τα προϊόντα και τις υπηρεσίες, τα οποία διατίθενται στους επισκέπτες των αρχαιολογικών χώρων και μουσείων, καθώς και μέσω του διαδικτύου. Είναι, επίσης, αρμόδιο για την έκδοση και την ανάπτυξη των πάσης φύσεως εφαρμογών πληροφορικής και πολυμέσων με αρχαιολογικό περιεχόμενο. Από την έναρξη ισχύος του παρόντος εξαιρούνται οι ψηφιακές εκδόσεις, υπηρεσίες και εφαρμογές που υλοποιούνται από την ανώνυμη εταιρεία με την επωνυμία «Οργανισμός Ανάπτυξης και Διαχείρισης Ελληνικής Πολιτιστικής Κληρονομιάς Α.Ε.».».</w:t>
      </w:r>
    </w:p>
    <w:p>
      <w:pPr>
        <w:jc w:val="both"/>
      </w:pPr>
      <w:r>
        <w:rPr>
          <w:sz w:val="22"/>
          <w:szCs w:val="22"/>
          <w:b w:val="1"/>
          <w:bCs w:val="1"/>
        </w:rPr>
        <w:t xml:space="preserve"> </w:t>
      </w:r>
    </w:p>
    <w:p>
      <w:pPr>
        <w:jc w:val="both"/>
      </w:pPr>
      <w:r>
        <w:rPr>
          <w:sz w:val="22"/>
          <w:szCs w:val="22"/>
          <w:b w:val="1"/>
          <w:bCs w:val="1"/>
        </w:rPr>
        <w:t xml:space="preserve">Άρθρο 44</w:t>
      </w:r>
    </w:p>
    <w:p>
      <w:pPr>
        <w:jc w:val="both"/>
      </w:pPr>
      <w:r>
        <w:rPr>
          <w:sz w:val="22"/>
          <w:szCs w:val="22"/>
          <w:b w:val="1"/>
          <w:bCs w:val="1"/>
        </w:rPr>
        <w:t xml:space="preserve">Τροποποίηση της αρμοδιότητας του Τμήματος Αξιοποίησης Ακίνητης Περιουσίας της Διεύθυνσης Μελετών, Έργων, Αποτυπώσεων και Αξιοποίησης Ακίνητης Περιουσίας της Γενικής Διεύθυνσης του Οργανισμού Διαχείρισης και Ανάπτυξης Πολιτιστικών Πόρων – Τροποποίηση παρ. 2 άρθρου 27 ν. 4761/2020</w:t>
      </w:r>
    </w:p>
    <w:p>
      <w:pPr>
        <w:jc w:val="both"/>
      </w:pPr>
      <w:r>
        <w:rPr>
          <w:sz w:val="22"/>
          <w:szCs w:val="22"/>
        </w:rPr>
        <w:t xml:space="preserve"> </w:t>
      </w:r>
    </w:p>
    <w:p>
      <w:pPr>
        <w:jc w:val="both"/>
      </w:pPr>
      <w:r>
        <w:rPr>
          <w:sz w:val="22"/>
          <w:szCs w:val="22"/>
        </w:rPr>
        <w:t xml:space="preserve">Στην παρ. 2 του άρθρου 27 του ν. 4761/2020 (Α΄ 248), περί διάρθρωσης της Διεύθυνσης Μελετών, Έργων, Αποτυπώσεων και Αξιοποίησης Ακίνητης Περιουσίας, επέρχονται οι ακόλουθες τροποποιήσεις: α) οι λέξεις «της χρήσης και την αξιοποίηση» αντικαθίστανται από τις λέξεις «της αξιοποίησης», β) μετά από τις λέξεις «του Ο.Δ.Α.Π.» προστίθενται οι λέξεις «, την οποία διαχειρίζεται στο όνομα και για λογαριασμό του η ανώνυμη εταιρεία με την επωνυμία «Οργανισμός Ανάπτυξης και Διαχείρισης Ελληνικής Πολιτιστικής Κληρονομιάς Α.Ε.»» και η παρ. 2 διαμορφώνεται ως εξής:</w:t>
      </w:r>
    </w:p>
    <w:p>
      <w:pPr>
        <w:jc w:val="both"/>
      </w:pPr>
      <w:r>
        <w:rPr>
          <w:sz w:val="22"/>
          <w:szCs w:val="22"/>
        </w:rPr>
        <w:t xml:space="preserve">«2. Το Τμήμα Αξιοποίησης Ακίνητης Περιουσίας είναι αρμόδιο για την παρακολούθηση της αξιοποίησης της ακίνητης περιουσίας του Ο.Δ.Α.Π. την οποία διαχειρίζεται στο όνομα και για λογαριασμό του η ανώνυμη εταιρεία με την επωνυμία «Οργανισμός Ανάπτυξης και Διαχείρισης Ελληνικής Πολιτιστικής Κληρονομιάς Α.Ε.»».</w:t>
      </w:r>
    </w:p>
    <w:p>
      <w:pPr>
        <w:jc w:val="both"/>
      </w:pPr>
      <w:r>
        <w:rPr>
          <w:sz w:val="22"/>
          <w:szCs w:val="22"/>
          <w:b w:val="1"/>
          <w:bCs w:val="1"/>
        </w:rPr>
        <w:t xml:space="preserve"> </w:t>
      </w:r>
    </w:p>
    <w:p>
      <w:pPr>
        <w:jc w:val="both"/>
      </w:pPr>
      <w:r>
        <w:rPr>
          <w:sz w:val="22"/>
          <w:szCs w:val="22"/>
          <w:b w:val="1"/>
          <w:bCs w:val="1"/>
        </w:rPr>
        <w:t xml:space="preserve">Άρθρο 45</w:t>
      </w:r>
    </w:p>
    <w:p>
      <w:pPr>
        <w:jc w:val="both"/>
      </w:pPr>
      <w:r>
        <w:rPr>
          <w:sz w:val="22"/>
          <w:szCs w:val="22"/>
          <w:b w:val="1"/>
          <w:bCs w:val="1"/>
        </w:rPr>
        <w:t xml:space="preserve">Υπαγωγή του Αυτοτελούς Τμήματος Παρακολούθησης και Ανάπτυξης Πόρων στον Πρόεδρο του Διοικητικού Συμβουλίου του Οργανισμού Διαχείρισης και Ανάπτυξης Πολιτιστικών Πόρων και τροποποίηση των αρμοδιοτήτων του – Αντικατάσταση άρθρου 30 ν. 4761/2020</w:t>
      </w:r>
    </w:p>
    <w:p>
      <w:pPr>
        <w:jc w:val="both"/>
      </w:pPr>
      <w:r>
        <w:rPr>
          <w:sz w:val="22"/>
          <w:szCs w:val="22"/>
          <w:b w:val="1"/>
          <w:bCs w:val="1"/>
        </w:rPr>
        <w:t xml:space="preserve"> </w:t>
      </w:r>
    </w:p>
    <w:p>
      <w:pPr>
        <w:jc w:val="both"/>
      </w:pPr>
      <w:r>
        <w:rPr>
          <w:sz w:val="22"/>
          <w:szCs w:val="22"/>
        </w:rPr>
        <w:t xml:space="preserve">Το άρθρο 30 του ν. 4761/2020 (Α΄ 248), περί σύστασης και αρμοδιοτήτων αυτοτελούς Τμήματος Παρακολούθησης και Ανάπτυξης Πόρων, αντικαθίσταται ως εξής:</w:t>
      </w:r>
    </w:p>
    <w:p>
      <w:pPr>
        <w:jc w:val="both"/>
      </w:pPr>
      <w:r>
        <w:rPr>
          <w:sz w:val="22"/>
          <w:szCs w:val="22"/>
        </w:rPr>
        <w:t xml:space="preserve">«Άρθρο 30</w:t>
      </w:r>
    </w:p>
    <w:p>
      <w:pPr>
        <w:jc w:val="both"/>
      </w:pPr>
      <w:r>
        <w:rPr>
          <w:sz w:val="22"/>
          <w:szCs w:val="22"/>
        </w:rPr>
        <w:t xml:space="preserve">Σύσταση και αρμοδιότητες αυτοτελούς Τμήματος Παρακολούθησης και Ανάπτυξης Πόρων</w:t>
      </w:r>
    </w:p>
    <w:p>
      <w:pPr>
        <w:numPr>
          <w:ilvl w:val="0"/>
          <w:numId w:val="45"/>
        </w:numPr>
      </w:pPr>
      <w:r>
        <w:rPr>
          <w:sz w:val="22"/>
          <w:szCs w:val="22"/>
        </w:rPr>
        <w:t xml:space="preserve">Συστήνεται αυτοτελές Τμήμα Παρακολούθησης και Ανάπτυξης Πόρων που υπάγεται στον Πρόεδρο του Δ.Σ.</w:t>
      </w:r>
    </w:p>
    <w:p>
      <w:pPr>
        <w:numPr>
          <w:ilvl w:val="0"/>
          <w:numId w:val="45"/>
        </w:numPr>
      </w:pPr>
      <w:r>
        <w:rPr>
          <w:sz w:val="22"/>
          <w:szCs w:val="22"/>
        </w:rPr>
        <w:t xml:space="preserve">Το Τμήμα είναι αρμόδιο για:</w:t>
      </w:r>
    </w:p>
    <w:p>
      <w:pPr>
        <w:jc w:val="both"/>
      </w:pPr>
      <w:r>
        <w:rPr>
          <w:sz w:val="22"/>
          <w:szCs w:val="22"/>
        </w:rPr>
        <w:t xml:space="preserve">α) την παρακολούθηση της πορείας των εσόδων του Ο.Δ.Α.Π., τη μελέτη των τάσεων της πορείας αυτής ανά πηγή εσόδων, την αποτελεσματική λειτουργία των μηχανισμών είσπραξης των εσόδων και την υποβολή προτάσεων για την αύξηση των εσόδων,</w:t>
      </w:r>
    </w:p>
    <w:p>
      <w:pPr>
        <w:jc w:val="both"/>
      </w:pPr>
      <w:r>
        <w:rPr>
          <w:sz w:val="22"/>
          <w:szCs w:val="22"/>
        </w:rPr>
        <w:t xml:space="preserve">β) την παρακολούθηση του συστήματος των ηλεκτρονικών εισιτηρίων,</w:t>
      </w:r>
    </w:p>
    <w:p>
      <w:pPr>
        <w:jc w:val="both"/>
      </w:pPr>
      <w:r>
        <w:rPr>
          <w:sz w:val="22"/>
          <w:szCs w:val="22"/>
        </w:rPr>
        <w:t xml:space="preserve">γ) την παρακολούθηση της διαδικασίας της καταβολής τελών δημοσίευσης και χρήσης φωτογραφιών, οπτικοακουστικών έργων, αντιγράφων, ψηφιακών μέσων και εκδηλώσεων,</w:t>
      </w:r>
    </w:p>
    <w:p>
      <w:pPr>
        <w:jc w:val="both"/>
      </w:pPr>
      <w:r>
        <w:rPr>
          <w:sz w:val="22"/>
          <w:szCs w:val="22"/>
        </w:rPr>
        <w:t xml:space="preserve">δ) την παρακολούθηση της αξιοποίησης και της λειτουργίας των αναψυκτηρίων που διαχειρίζεται η ανώνυμη εταιρεία με την επωνυμία «Οργανισμός Ανάπτυξης και Διαχείρισης Ελληνικής Πολιτιστικής Κληρονομιάς Α.Ε.» στο όνομα και για λογαριασμό του Ο.Δ.Α.Π. και</w:t>
      </w:r>
    </w:p>
    <w:p>
      <w:pPr>
        <w:jc w:val="both"/>
      </w:pPr>
      <w:r>
        <w:rPr>
          <w:sz w:val="22"/>
          <w:szCs w:val="22"/>
        </w:rPr>
        <w:t xml:space="preserve">ε) τη στήριξη, τη διευκόλυνση, την υποβοήθηση, με κάθε πρόσφορο τρόπο και μέσο του έργου της Επιτροπής Απογραφής, του Δ.Σ. της ανώνυμης εταιρείας με την επωνυμία «Οργανισμός Ανάπτυξης και Διαχείρισης Ελληνικής Πολιτιστικής Κληρονομιάς Α.Ε.» και των Γενικών Διευθυντών αυτής, μέσω της παροχής κάθε αναγκαίας πληροφορίας για την ομαλή μετάβαση στην παραγωγική λειτουργία της ανωτέρω ανώνυμης εταιρείας.».</w:t>
      </w:r>
    </w:p>
    <w:p>
      <w:pPr>
        <w:jc w:val="both"/>
      </w:pPr>
      <w:r>
        <w:rPr>
          <w:sz w:val="22"/>
          <w:szCs w:val="22"/>
          <w:b w:val="1"/>
          <w:bCs w:val="1"/>
        </w:rPr>
        <w:t xml:space="preserve"> </w:t>
      </w:r>
    </w:p>
    <w:p>
      <w:pPr>
        <w:jc w:val="both"/>
      </w:pPr>
      <w:r>
        <w:rPr>
          <w:sz w:val="22"/>
          <w:szCs w:val="22"/>
          <w:b w:val="1"/>
          <w:bCs w:val="1"/>
        </w:rPr>
        <w:t xml:space="preserve">Άρθρο 46</w:t>
      </w:r>
    </w:p>
    <w:p>
      <w:pPr>
        <w:jc w:val="both"/>
      </w:pPr>
      <w:r>
        <w:rPr>
          <w:sz w:val="22"/>
          <w:szCs w:val="22"/>
          <w:b w:val="1"/>
          <w:bCs w:val="1"/>
        </w:rPr>
        <w:t xml:space="preserve">Εκκρεμείς δικαστικές υποθέσεις του Οργανισμού Διαχείρισης και Ανάπτυξης Πολιτιστικών Πόρων – Προσθήκη παρ. 11 στο άρθρο 33 του ν. 4761/2020</w:t>
      </w:r>
    </w:p>
    <w:p>
      <w:pPr>
        <w:jc w:val="both"/>
      </w:pPr>
      <w:r>
        <w:rPr>
          <w:sz w:val="22"/>
          <w:szCs w:val="22"/>
        </w:rPr>
        <w:t xml:space="preserve">Στο άρθρο 33 του ν. 4761/2020 (Α΄ 248), περί Δικαστικού Γραφείου του Νομικού Συμβουλίου του Κράτους, προστίθεται παρ. 11 ως εξής:</w:t>
      </w:r>
    </w:p>
    <w:p>
      <w:pPr>
        <w:jc w:val="both"/>
      </w:pPr>
      <w:r>
        <w:rPr>
          <w:sz w:val="22"/>
          <w:szCs w:val="22"/>
        </w:rPr>
        <w:t xml:space="preserve">«11. Οι εκκρεμείς δικαστικές υποθέσεις που άπτονται της αποστολής και της άσκησης των αρμοδιοτήτων της ανώνυμης εταιρείας με την επωνυμία «Οργανισμός Ανάπτυξης και Διαχείρισης Ελληνικής Πολιτιστικής Κληρονομιάς Α.Ε.» και τον διακριτικό τίτλο «Hellenic Heritage», με την έναρξη λειτουργίας της εταιρείας, παραδίδονται από τον προϊστάμενο του οικείου Γραφείου του Νομικού Συμβουλίου του Κράτους, στο οποίο έχει ανατεθεί ο χειρισμός τους, στον προϊστάμενο της Διεύθυνσης Νομικής Υποστήριξης της εταιρείας, ο οποίος είναι αρμόδιος για την ανάθεση του χειρισμού των υποθέσεων αυτών στους δικηγόρους της εταιρείας ή σε εξωτερικούς δικηγόρους και δικηγορικές εταιρείες.».</w:t>
      </w:r>
    </w:p>
    <w:p>
      <w:pPr>
        <w:jc w:val="both"/>
      </w:pPr>
      <w:r>
        <w:rPr>
          <w:sz w:val="22"/>
          <w:szCs w:val="22"/>
          <w:b w:val="1"/>
          <w:bCs w:val="1"/>
        </w:rPr>
        <w:t xml:space="preserve"> </w:t>
      </w:r>
    </w:p>
    <w:p>
      <w:pPr>
        <w:jc w:val="both"/>
      </w:pPr>
      <w:r>
        <w:rPr>
          <w:sz w:val="22"/>
          <w:szCs w:val="22"/>
          <w:b w:val="1"/>
          <w:bCs w:val="1"/>
        </w:rPr>
        <w:t xml:space="preserve">Άρθρο 47</w:t>
      </w:r>
    </w:p>
    <w:p>
      <w:pPr>
        <w:jc w:val="both"/>
      </w:pPr>
      <w:r>
        <w:rPr>
          <w:sz w:val="22"/>
          <w:szCs w:val="22"/>
          <w:b w:val="1"/>
          <w:bCs w:val="1"/>
        </w:rPr>
        <w:t xml:space="preserve">Μετονομασία του Τμήματος Νομικής Υποστήριξης σε Γραφείο Νομικής Υποστήριξης και τροποποίηση των αρμοδιοτήτων των δικηγόρων με έμμισθη εντολή του Οργανισμού Διαχείρισης και Ανάπτυξης Πολιτιστικών Πόρων – Τροποποίηση άρθρου 34 ν. 4761/2020</w:t>
      </w:r>
    </w:p>
    <w:p>
      <w:pPr>
        <w:jc w:val="both"/>
      </w:pPr>
      <w:r>
        <w:rPr>
          <w:sz w:val="22"/>
          <w:szCs w:val="22"/>
        </w:rPr>
        <w:t xml:space="preserve">Στο άρθρο 34 του ν. 4761/2020 (Α΄ 248), περί Τμήματος Νομικής Υποστήριξης, επέρχονται οι ακόλουθες τροποποιήσεις: α) στον τίτλο η λέξη «Τμήμα» αντικαθίσταται από τη λέξη «Γραφείο», β) στην παρ. 1, βα) η λέξη «Τμήμα» αντικαθίσταται από τη λέξη «Γραφείο», ββ) μετά από τις λέξεις «του Ο.Δ.Α.Π.» προστίθενται οι λέξεις «είναι αδιαβάθμητο,», βγ) προστίθενται νέα εδάφια, δεύτερο, τρίτο, τέταρτο και πέμπτο, γ) η παρ. 2 αντικαθίσταται, δ) η παρ. 3 καταργείται και το άρθρο 34 διαμορφώνεται ως εξής:</w:t>
      </w:r>
    </w:p>
    <w:p>
      <w:pPr>
        <w:jc w:val="both"/>
      </w:pPr>
      <w:r>
        <w:rPr>
          <w:sz w:val="22"/>
          <w:szCs w:val="22"/>
        </w:rPr>
        <w:t xml:space="preserve">«Άρθρο 34</w:t>
      </w:r>
    </w:p>
    <w:p>
      <w:pPr>
        <w:jc w:val="both"/>
      </w:pPr>
      <w:r>
        <w:rPr>
          <w:sz w:val="22"/>
          <w:szCs w:val="22"/>
        </w:rPr>
        <w:t xml:space="preserve">Γραφείο Νομικής Υποστήριξης</w:t>
      </w:r>
    </w:p>
    <w:p>
      <w:pPr>
        <w:numPr>
          <w:ilvl w:val="0"/>
          <w:numId w:val="46"/>
        </w:numPr>
      </w:pPr>
      <w:r>
        <w:rPr>
          <w:sz w:val="22"/>
          <w:szCs w:val="22"/>
        </w:rPr>
        <w:t xml:space="preserve">Το Γραφείο Νομικής Υποστήριξης του Ο.Δ.Α.Π. υπάγεται στον Πρόεδρο του Δ.Σ. του Ο.Δ.Α.Π., είναι αδιαβάθμητο, στελεχώνεται από τους δικηγόρους του Ο.Δ.Α.Π. με έμμισθη εντολή και είναι αρμόδιο για τη συμβουλευτική νομική υποστήριξη της λειτουργίας των υπηρεσιών του Ο.Δ.Α.Π., κατά την άσκηση των αρμοδιοτήτων τους, προκειμένου να διασφαλίζεται η νομιμότητα της δράσης τους. Συνεργάζεται με το Γραφείο Νομικού Συμβουλίου του Κράτους στον Ο.Δ.Α.Π. για τον χειρισμό των υποθέσεων, που ανατίθενται στους δικηγόρους του Γραφείου Νομικής Υποστήριξης, από τον Προϊστάμενο του Γραφείου Νομικού Συμβουλίου του Κράτους. Με απόφαση του Προέδρου του Δ.Σ. του Ο.Δ.Α.Π. ορίζεται προϊστάμενος του Γραφείου Νομικής Υποστήριξης. Ο προϊστάμενος του Γραφείου Νομικής Υποστήριξης συνεργάζεται με τους νομικούς συμβούλους, τους δικηγόρους με έμμισθη εντολή και τον προϊστάμενο της Διεύθυνσης Νομικής Υποστήριξης της ανώνυμης εταιρείας με την επωνυμία «Οργανισμός Ανάπτυξης και Διαχείρισης Ελληνικής Πολιτιστικής Κληρονομιάς Α.Ε.».</w:t>
      </w:r>
    </w:p>
    <w:p>
      <w:pPr>
        <w:numPr>
          <w:ilvl w:val="0"/>
          <w:numId w:val="46"/>
        </w:numPr>
      </w:pPr>
      <w:r>
        <w:rPr>
          <w:sz w:val="22"/>
          <w:szCs w:val="22"/>
        </w:rPr>
        <w:t xml:space="preserve">Για την πρόσληψη στις θέσεις δικηγόρων με έμμισθη εντολή στον Ο.Δ.Α.Π. εφαρμόζονται η παρ. 2 του άρθρου 43 του Κώδικα Δικηγόρων (ν. 4194/2013, Α` 208), για την πρόσληψη δικηγόρων στους φορείς του δημόσιου τομέα και το άρθρο 51 του ν. 4622/2019 (Α’ 133), περί ετήσιου προγραμματισμού ανθρώπινου δυναμικού του δημόσιου τομέα.».</w:t>
      </w:r>
    </w:p>
    <w:p>
      <w:pPr>
        <w:jc w:val="both"/>
      </w:pPr>
      <w:r>
        <w:rPr>
          <w:sz w:val="22"/>
          <w:szCs w:val="22"/>
          <w:b w:val="1"/>
          <w:bCs w:val="1"/>
        </w:rPr>
        <w:t xml:space="preserve"> </w:t>
      </w:r>
    </w:p>
    <w:p>
      <w:pPr>
        <w:jc w:val="both"/>
      </w:pPr>
      <w:r>
        <w:rPr>
          <w:sz w:val="22"/>
          <w:szCs w:val="22"/>
          <w:b w:val="1"/>
          <w:bCs w:val="1"/>
        </w:rPr>
        <w:t xml:space="preserve">Άρθρο 48</w:t>
      </w:r>
    </w:p>
    <w:p>
      <w:pPr>
        <w:jc w:val="both"/>
      </w:pPr>
      <w:r>
        <w:rPr>
          <w:sz w:val="22"/>
          <w:szCs w:val="22"/>
          <w:b w:val="1"/>
          <w:bCs w:val="1"/>
        </w:rPr>
        <w:t xml:space="preserve">Μείωση των οργανικών θέσεων του Οργανισμού Διαχείρισης και Ανάπτυξης Πολιτιστικών Πόρων – Τροποποίηση παρ. 1 άρθρου 36 ν. 4761/2020</w:t>
      </w:r>
    </w:p>
    <w:p>
      <w:pPr>
        <w:jc w:val="both"/>
      </w:pPr>
      <w:r>
        <w:rPr>
          <w:sz w:val="22"/>
          <w:szCs w:val="22"/>
        </w:rPr>
        <w:t xml:space="preserve">Στην παρ. 1 του άρθρου 36 του ν. 4761/2020 (Α΄ 248), περί οργανικών θέσεων του Οργανισμού Διαχείρισης και Ανάπτυξης Πολιτιστικών Πόρων, οι λέξεις «τριακόσιες (300)» αντικαθίστανται από τις λέξεις «διακόσιες τριάντα τέσσερις (234)» και η παρ. 1 διαμορφώνεται ως εξής:</w:t>
      </w:r>
    </w:p>
    <w:p>
      <w:pPr>
        <w:jc w:val="both"/>
      </w:pPr>
      <w:r>
        <w:rPr>
          <w:sz w:val="22"/>
          <w:szCs w:val="22"/>
        </w:rPr>
        <w:t xml:space="preserve">«1. Το σύνολο των οργανικών θέσεων του Ο.Δ.Α.Π. ανέρχεται σε διακόσιες τριάντα τέσσερις (234).».</w:t>
      </w:r>
    </w:p>
    <w:p>
      <w:pPr>
        <w:jc w:val="both"/>
      </w:pPr>
      <w:r>
        <w:rPr>
          <w:sz w:val="22"/>
          <w:szCs w:val="22"/>
          <w:b w:val="1"/>
          <w:bCs w:val="1"/>
        </w:rPr>
        <w:t xml:space="preserve"> </w:t>
      </w:r>
    </w:p>
    <w:p>
      <w:pPr>
        <w:jc w:val="both"/>
      </w:pPr>
      <w:r>
        <w:rPr>
          <w:sz w:val="22"/>
          <w:szCs w:val="22"/>
          <w:b w:val="1"/>
          <w:bCs w:val="1"/>
        </w:rPr>
        <w:t xml:space="preserve">Άρθρο 49</w:t>
      </w:r>
    </w:p>
    <w:p>
      <w:pPr>
        <w:jc w:val="both"/>
      </w:pPr>
      <w:r>
        <w:rPr>
          <w:sz w:val="22"/>
          <w:szCs w:val="22"/>
          <w:b w:val="1"/>
          <w:bCs w:val="1"/>
        </w:rPr>
        <w:t xml:space="preserve">Τροποποίηση της κατανομής των οργανικών θέσεων του μόνιμου προσωπικού του Οργανισμού Διαχείρισης και Ανάπτυξης Πολιτιστικών Πόρων κατά κατηγορία, κλάδο και ειδικότητα – Αντικατάσταση άρθρου 37 ν. 4761/2020</w:t>
      </w:r>
    </w:p>
    <w:p>
      <w:pPr>
        <w:jc w:val="both"/>
      </w:pPr>
      <w:r>
        <w:rPr>
          <w:sz w:val="22"/>
          <w:szCs w:val="22"/>
        </w:rPr>
        <w:t xml:space="preserve">Το άρθρο 37 του ν. 4761/2020 (Α’ 248), περί κατανομής οργανικών θέσεων μόνιμου προσωπικού κατά κατηγορία, κλάδο και ειδικότητα, αντικαθίσταται ως εξής:</w:t>
      </w:r>
    </w:p>
    <w:p>
      <w:pPr>
        <w:jc w:val="both"/>
      </w:pPr>
      <w:r>
        <w:rPr>
          <w:sz w:val="22"/>
          <w:szCs w:val="22"/>
        </w:rPr>
        <w:t xml:space="preserve">«Άρθρο 37Κατανομή οργανικών θέσεων μόνιμου προσωπικού κατά κατηγορία κλάδο και ειδικότηταΟι οργανικές θέσεις του μόνιμου προσωπικού ανέρχονται σε εκατόν ενενήντα τρεις (193) και κατανέμονται κατά κατηγορία, κλάδο και ειδικότητα ως εξής:1. Ενενήντα επτά (97) θέσεις κατηγορίας πανεπιστημιακής εκπαίδευσης (ΠΕ), από τις οποίες:α) Κλάδος ΠΕ Διοικητικού – Οικονομικού, Ειδικότητα ΠΕ Οικονομικού, επτά (7) θέσεις.β) Κλάδος ΠΕ Διοικητικού – Οικονομικού, Ειδικότητα ΠΕ Διοικητικού – Οικονομικού, τριάντα επτά (37) θέσεις.γ) Κλάδος ΠΕ Αρχαιολόγων, Ειδικότητα ΠΕ Προϊστορικών – Κλασικών, επτά (7) θέσεις.δ) Κλάδος ΠΕ Αρχαιολόγων, Ειδικότητα ΠΕ Βυζαντινών – Μεταβυζαντινών, τρεις (3) θέσεις.ε) Κλάδος ΠΕ Μηχανικών, Ειδικότητα ΠΕ Πολιτικών Μηχανικών, οκτώ (8) θέσεις.στ) Κλάδος ΠΕ Μηχανικών, Ειδικότητα ΠΕ Αρχιτεκτόνων Μηχανικών, τέσσερις (4) θέσεις.ζ) Κλάδος ΠΕ Μηχανικών, Ειδικότητα ΠΕ Μηχανολόγων Μηχανικών, δύο (2) θέσεις.η) Κλάδος ΠΕ Μηχανικών, Ειδικότητα ΠΕ Ηλεκτρολόγων Μηχανικών, δύο (2) θέσεις.θ) Κλάδος ΠΕ Μηχανικών, Ειδικότητα ΠΕ Αγρονόμων – Τοπογράφων Μηχανικών, τέσσερις (4) θέσεις.ι) Κλάδος ΠΕ Πληροφορικής, Ειδικότητα ΠΕ Πληροφορικής (software-hardware), έξι (6) θέσεις.ια) Κλάδος ΠΕ Καλών Τεχνών (Γλυπτών), επτά (7) θέσεις.ιβ) Κλάδος ΠΕ Καλών Τεχνών (Ζωγράφων), έξι (6) θέσεις.ιγ) Κλάδος ΠΕ Καλών Τεχνών (Αγιογράφων), μία (1) θέση.ιδ) Κλάδος ΠΕ Πολιτιστικής Διαχείρισης, Ειδικότητα ΠΕ Πολιτιστικής Διαχείρισης, τρεις (3) θέσεις. 2. Είκοσι πέντε (25) θέσεις κατηγορίας τεχνολογικής εκπαίδευσης (ΤΕ), από τις οποίες:α) Κλάδος ΤΕ Μηχανικών, ειδικότητα ΤΕ Πολιτικών Μηχανικών, δύο (2) θέσεις.β) Κλάδος ΤΕ Μηχανικών, ειδικότητα ΤΕ Τοπογράφων Μηχανικών, δύο (2) θέσεις.γ) Κλάδος ΤΕ Διοικητικού – Λογιστικού, ειδικότητα ΤΕ Διοικητικού – Λογιστικού, εννέα (9) θέσεις.δ) Κλάδος ΤΕ Γραφικών Τεχνών, ειδικότητα ΤΕ Γραφικών Τεχνών, έξι (6) θέσεις.ε) Κλάδος ΤΕ Συντηρητών Αρχαιοτήτων και Έργων Τέχνης, ειδικότητα ΤΕ Συντηρητών Αρχαιοτήτων και Έργων Τέχνης, έξι (6) θέσεις.3. Εξήντα δύο (62) θέσεις κατηγορίας δευτεροβάθμιας εκπαίδευσης (ΔΕ), από τις οποίες:α) Κλάδος ΔΕ Διοικητικού – Λογιστικού, ειδικότητα ΔΕ Διοικητικού – Λογιστικού, δώδεκα (12) θέσεις.β) Κλάδος ΔΕ Οδηγών, ειδικότητα ΔΕ Οδηγών, μία (1) θέση.γ) Κλάδος ΔΕ Συντηρητών Αρχαιοτήτων και Έργων Τέχνης, ειδικότητα ΔΕ Τεχνιτών Εκμαγείων, δεκαεννέα (19) θέσεις.δ) Κλάδος ΔΕ Συντηρητών Αρχαιοτήτων και Έργων Τέχνης, ειδικότητα ΔΕ Συντηρητών Αρχαιοτήτων και Έργων Τέχνης, μία (1) θέση.ε) Κλάδος ΔΕ Φύλαξης – Πληροφόρησης, ειδικότητα ΔΕ Ημερήσιων Φυλάκων Μουσείων και Αρχαιολογικών Χώρων, είκοσι τρεις (23) θέσεις.στ) Κλάδος ΔΕ Φύλαξης – Πληροφόρησης, ειδικότητα ΔΕ Νυχτοφυλάκων Μουσείων και Αρχαιολογικών Χώρων, μία (1) θέση.ζ) Κλάδος ΔΕ Φυλάκων, ειδικότητα ΔΕ Προσωπικού Ασφαλείας, τρεις (3) θέσεις.η) Κλάδος ΔΕ Τεχνικού, Ειδικότητα ΔΕ Ηλεκτρολόγων, μία (1) θέση.θ) Κλάδος ΔΕ Τεχνικού, Ειδικότητα ΔΕ Δομικών Έργων, μία (1) θέση.4. Εννέα (9) θέσεις κατηγορίας υποχρεωτικής εκπαίδευσης (ΥΕ), από τις οποίες:α) Κλάδος ΥΕ Επιμελητών – Κλητήρων, ειδικότητα ΥΕ Κλητήρων, μία (1) θέση.β) Κλάδος ΥΕ Εργατών Γενικών Καθηκόντων, ειδικότητα ΥΕ Εργατών Γενικών Καθηκόντων, οκτώ (8) θέσεις.».</w:t>
      </w:r>
    </w:p>
    <w:p>
      <w:pPr>
        <w:jc w:val="both"/>
      </w:pPr>
      <w:r>
        <w:rPr>
          <w:sz w:val="22"/>
          <w:szCs w:val="22"/>
          <w:b w:val="1"/>
          <w:bCs w:val="1"/>
        </w:rPr>
        <w:t xml:space="preserve"> </w:t>
      </w:r>
    </w:p>
    <w:p>
      <w:pPr>
        <w:jc w:val="both"/>
      </w:pPr>
      <w:r>
        <w:rPr>
          <w:sz w:val="22"/>
          <w:szCs w:val="22"/>
          <w:b w:val="1"/>
          <w:bCs w:val="1"/>
        </w:rPr>
        <w:t xml:space="preserve">Άρθρο 50</w:t>
      </w:r>
    </w:p>
    <w:p>
      <w:pPr>
        <w:jc w:val="both"/>
      </w:pPr>
      <w:r>
        <w:rPr>
          <w:sz w:val="22"/>
          <w:szCs w:val="22"/>
          <w:b w:val="1"/>
          <w:bCs w:val="1"/>
        </w:rPr>
        <w:t xml:space="preserve">Τροποποίηση της κατανομής των οργανικών θέσεων του προσωπικού με σχέση εργασίας ιδιωτικού δικαίου αορίστου χρόνου του Οργανισμού Διαχείρισης και Ανάπτυξης Πολιτιστικών Πόρων κατά εκπαιδευτική κατηγορία, κλάδο και ειδικότητα –</w:t>
      </w:r>
      <w:r>
        <w:rPr>
          <w:sz w:val="22"/>
          <w:szCs w:val="22"/>
        </w:rPr>
        <w:t xml:space="preserve"> </w:t>
      </w:r>
      <w:r>
        <w:rPr>
          <w:sz w:val="22"/>
          <w:szCs w:val="22"/>
          <w:b w:val="1"/>
          <w:bCs w:val="1"/>
        </w:rPr>
        <w:t xml:space="preserve">Αντικατάσταση</w:t>
      </w:r>
      <w:r>
        <w:rPr>
          <w:sz w:val="22"/>
          <w:szCs w:val="22"/>
        </w:rPr>
        <w:t xml:space="preserve"> </w:t>
      </w:r>
      <w:r>
        <w:rPr>
          <w:sz w:val="22"/>
          <w:szCs w:val="22"/>
          <w:b w:val="1"/>
          <w:bCs w:val="1"/>
        </w:rPr>
        <w:t xml:space="preserve">άρθρου 38 ν. 4761/2020</w:t>
      </w:r>
    </w:p>
    <w:p>
      <w:pPr>
        <w:jc w:val="both"/>
      </w:pPr>
      <w:r>
        <w:rPr>
          <w:sz w:val="22"/>
          <w:szCs w:val="22"/>
        </w:rPr>
        <w:t xml:space="preserve"> </w:t>
      </w:r>
    </w:p>
    <w:p>
      <w:pPr>
        <w:jc w:val="both"/>
      </w:pPr>
      <w:r>
        <w:rPr>
          <w:sz w:val="22"/>
          <w:szCs w:val="22"/>
        </w:rPr>
        <w:t xml:space="preserve">Το άρθρο 38 του ν. 4761/2020 (Α΄ 248), περί κατανομής οργανικών θέσεων προσωπικού με σχέση εργασίας ιδιωτικού δικαίου αορίστου χρόνου κατά εκπαιδευτική κατηγορία, κλάδο και ειδικότητα, αντικαθίσταται ως εξής:</w:t>
      </w:r>
    </w:p>
    <w:p>
      <w:pPr>
        <w:jc w:val="both"/>
      </w:pPr>
      <w:r>
        <w:rPr>
          <w:sz w:val="22"/>
          <w:szCs w:val="22"/>
        </w:rPr>
        <w:t xml:space="preserve">«Άρθρο 38</w:t>
      </w:r>
    </w:p>
    <w:p>
      <w:pPr>
        <w:jc w:val="both"/>
      </w:pPr>
      <w:r>
        <w:rPr>
          <w:sz w:val="22"/>
          <w:szCs w:val="22"/>
        </w:rPr>
        <w:t xml:space="preserve">Κατανομή οργανικών θέσεων προσωπικού με σχέση εργασίας ιδιωτικού δικαίου αορίστου χρόνου κατά εκπαιδευτική κατηγορία, κλάδο και ειδικότητα</w:t>
      </w:r>
    </w:p>
    <w:p>
      <w:pPr>
        <w:jc w:val="both"/>
      </w:pPr>
      <w:r>
        <w:rPr>
          <w:sz w:val="22"/>
          <w:szCs w:val="22"/>
        </w:rPr>
        <w:t xml:space="preserve">Οι οργανικές θέσεις του προσωπικού με σχέση εργασίας ιδιωτικού δικαίου αορίστου χρόνου ανέρχονται σε σαράντα μία (41) και κατανέμονται κατά εκπαιδευτική κατηγορία, κλάδο και ειδικότητα ως εξής:</w:t>
      </w:r>
    </w:p>
    <w:p>
      <w:pPr>
        <w:numPr>
          <w:ilvl w:val="0"/>
          <w:numId w:val="47"/>
        </w:numPr>
      </w:pPr>
      <w:r>
        <w:rPr>
          <w:sz w:val="22"/>
          <w:szCs w:val="22"/>
        </w:rPr>
        <w:t xml:space="preserve">Είκοσι τέσσερις (24) θέσεις κατηγορίας πανεπιστημιακής εκπαίδευσης (ΠΕ), από τις οποίες:</w:t>
      </w:r>
    </w:p>
    <w:p>
      <w:pPr>
        <w:jc w:val="both"/>
      </w:pPr>
      <w:r>
        <w:rPr>
          <w:sz w:val="22"/>
          <w:szCs w:val="22"/>
        </w:rPr>
        <w:t xml:space="preserve">α) Κλάδος ΠΕ Διοικητικού – Οικονομικού, Ειδικότητα ΠΕ Διοικητικού – Οικονομικού, οκτώ (8) θέσεις.</w:t>
      </w:r>
    </w:p>
    <w:p>
      <w:pPr>
        <w:jc w:val="both"/>
      </w:pPr>
      <w:r>
        <w:rPr>
          <w:sz w:val="22"/>
          <w:szCs w:val="22"/>
        </w:rPr>
        <w:t xml:space="preserve">β) Κλάδος ΠΕ Αρχαιολόγων, Ειδικότητα ΠΕ Αρχαιολόγων, οκτώ (8) θέσεις.</w:t>
      </w:r>
    </w:p>
    <w:p>
      <w:pPr>
        <w:jc w:val="both"/>
      </w:pPr>
      <w:r>
        <w:rPr>
          <w:sz w:val="22"/>
          <w:szCs w:val="22"/>
        </w:rPr>
        <w:t xml:space="preserve">γ) Κλάδος ΠΕ Μηχανικών, Ειδικότητα ΠΕ Πολιτικών Μηχανικών, δύο (2) θέσεις.</w:t>
      </w:r>
    </w:p>
    <w:p>
      <w:pPr>
        <w:jc w:val="both"/>
      </w:pPr>
      <w:r>
        <w:rPr>
          <w:sz w:val="22"/>
          <w:szCs w:val="22"/>
        </w:rPr>
        <w:t xml:space="preserve">δ) Κλάδος ΠΕ Μηχανικών, Ειδικότητα ΠΕ Αρχιτεκτόνων Μηχανικών, δύο (2) θέσεις.</w:t>
      </w:r>
    </w:p>
    <w:p>
      <w:pPr>
        <w:jc w:val="both"/>
      </w:pPr>
      <w:r>
        <w:rPr>
          <w:sz w:val="22"/>
          <w:szCs w:val="22"/>
        </w:rPr>
        <w:t xml:space="preserve">ε) Κλάδος ΠΕ Μηχανικών, Ειδικότητα ΠΕ Μηχανολόγων Μηχανικών, μία (1) θέση.</w:t>
      </w:r>
    </w:p>
    <w:p>
      <w:pPr>
        <w:jc w:val="both"/>
      </w:pPr>
      <w:r>
        <w:rPr>
          <w:sz w:val="22"/>
          <w:szCs w:val="22"/>
        </w:rPr>
        <w:t xml:space="preserve">στ) Κλάδος ΠΕ Καλών Τεχνών (Γλυπτών), μία (1) θέση.</w:t>
      </w:r>
    </w:p>
    <w:p>
      <w:pPr>
        <w:jc w:val="both"/>
      </w:pPr>
      <w:r>
        <w:rPr>
          <w:sz w:val="22"/>
          <w:szCs w:val="22"/>
        </w:rPr>
        <w:t xml:space="preserve">ζ) Κλάδος ΠΕ Πολιτιστικής Διαχείρισης, Ειδικότητα ΠΕ Πολιτιστικής Διαχείρισης, δύο (2) θέσεις.</w:t>
      </w:r>
    </w:p>
    <w:p>
      <w:pPr>
        <w:numPr>
          <w:ilvl w:val="0"/>
          <w:numId w:val="48"/>
        </w:numPr>
      </w:pPr>
      <w:r>
        <w:rPr>
          <w:sz w:val="22"/>
          <w:szCs w:val="22"/>
        </w:rPr>
        <w:t xml:space="preserve">Τρεις (3) θέσεις κατηγορίας τεχνολογικής εκπαίδευσης (ΤΕ), από τις οποίες:</w:t>
      </w:r>
    </w:p>
    <w:p>
      <w:pPr>
        <w:jc w:val="both"/>
      </w:pPr>
      <w:r>
        <w:rPr>
          <w:sz w:val="22"/>
          <w:szCs w:val="22"/>
        </w:rPr>
        <w:t xml:space="preserve">α) Κλάδος ΤΕ Συντηρητών Αρχαιοτήτων και Έργων Τέχνης, ειδικότητα ΤΕ Συντηρητών Αρχαιοτήτων και Έργων Τέχνης, δύο (2) θέσεις.</w:t>
      </w:r>
    </w:p>
    <w:p>
      <w:pPr>
        <w:jc w:val="both"/>
      </w:pPr>
      <w:r>
        <w:rPr>
          <w:sz w:val="22"/>
          <w:szCs w:val="22"/>
        </w:rPr>
        <w:t xml:space="preserve">β) Κλάδος ΤΕ Μηχανικών, ειδικότητα ΤΕ Πολιτικών Μηχανικών, μία (1) θέση.</w:t>
      </w:r>
    </w:p>
    <w:p>
      <w:pPr>
        <w:numPr>
          <w:ilvl w:val="0"/>
          <w:numId w:val="49"/>
        </w:numPr>
      </w:pPr>
      <w:r>
        <w:rPr>
          <w:sz w:val="22"/>
          <w:szCs w:val="22"/>
        </w:rPr>
        <w:t xml:space="preserve">Δεκατρείς (13) θέσεις κατηγορίας δευτεροβάθμιας εκπαίδευσης (ΔΕ), από τις οποίες:</w:t>
      </w:r>
    </w:p>
    <w:p>
      <w:pPr>
        <w:jc w:val="both"/>
      </w:pPr>
      <w:r>
        <w:rPr>
          <w:sz w:val="22"/>
          <w:szCs w:val="22"/>
        </w:rPr>
        <w:t xml:space="preserve">α) Κλάδος ΔΕ Διοικητικού – Λογιστικού, Ειδικότητα ΔΕ Διοικητικού – Λογιστικού, επτά (7) θέσεις.</w:t>
      </w:r>
    </w:p>
    <w:p>
      <w:pPr>
        <w:jc w:val="both"/>
      </w:pPr>
      <w:r>
        <w:rPr>
          <w:sz w:val="22"/>
          <w:szCs w:val="22"/>
        </w:rPr>
        <w:t xml:space="preserve">β) Κλάδος ΔΕ Υποστηρικτικού Προσωπικού, ειδικότητα ΔΕ Πωλήσεων, τρεις (3) θέσεις.</w:t>
      </w:r>
    </w:p>
    <w:p>
      <w:pPr>
        <w:jc w:val="both"/>
      </w:pPr>
      <w:r>
        <w:rPr>
          <w:sz w:val="22"/>
          <w:szCs w:val="22"/>
        </w:rPr>
        <w:t xml:space="preserve">γ) Κλάδος ΔΕ Συντηρητών Αρχαιοτήτων και Έργων Τέχνης, ειδικότητα ΔΕ Τεχνιτών Εκμαγείων, μία (1) θέση.</w:t>
      </w:r>
    </w:p>
    <w:p>
      <w:pPr>
        <w:jc w:val="both"/>
      </w:pPr>
      <w:r>
        <w:rPr>
          <w:sz w:val="22"/>
          <w:szCs w:val="22"/>
        </w:rPr>
        <w:t xml:space="preserve">δ) Κλάδος ΔΕ Φύλαξης – Πληροφόρησης, Ειδικότητα ΔΕ Ημερήσιων Φυλάκων Μουσείων και Αρχαιολογικών Χώρων, μία (1) θέση.</w:t>
      </w:r>
    </w:p>
    <w:p>
      <w:pPr>
        <w:jc w:val="both"/>
      </w:pPr>
      <w:r>
        <w:rPr>
          <w:sz w:val="22"/>
          <w:szCs w:val="22"/>
        </w:rPr>
        <w:t xml:space="preserve">ε) Κλάδος ΔΕ Φύλαξης – Πληροφόρησης, Ειδικότητα ΔΕ Νυχτοφυλάκων Μουσείων και Αρχαιολογικών Χώρων, μία (1) θέση.</w:t>
      </w:r>
    </w:p>
    <w:p>
      <w:pPr>
        <w:numPr>
          <w:ilvl w:val="0"/>
          <w:numId w:val="50"/>
        </w:numPr>
      </w:pPr>
      <w:r>
        <w:rPr>
          <w:sz w:val="22"/>
          <w:szCs w:val="22"/>
        </w:rPr>
        <w:t xml:space="preserve">Μία (1) θέση κατηγορίας υποχρεωτικής εκπαίδευσης (ΥΕ):</w:t>
      </w:r>
    </w:p>
    <w:p>
      <w:pPr>
        <w:jc w:val="both"/>
      </w:pPr>
      <w:r>
        <w:rPr>
          <w:sz w:val="22"/>
          <w:szCs w:val="22"/>
        </w:rPr>
        <w:t xml:space="preserve">Κλάδος ΥΕ Εργατών Γενικών Καθηκόντων, Ειδικότητα ΥΕ Εργατών Γενικών Καθηκόντων, μία (1) θέση.».</w:t>
      </w:r>
    </w:p>
    <w:p>
      <w:pPr>
        <w:jc w:val="both"/>
      </w:pPr>
      <w:r>
        <w:rPr>
          <w:sz w:val="22"/>
          <w:szCs w:val="22"/>
          <w:b w:val="1"/>
          <w:bCs w:val="1"/>
        </w:rPr>
        <w:t xml:space="preserve"> </w:t>
      </w:r>
    </w:p>
    <w:p>
      <w:pPr>
        <w:jc w:val="both"/>
      </w:pPr>
      <w:r>
        <w:rPr>
          <w:sz w:val="22"/>
          <w:szCs w:val="22"/>
          <w:b w:val="1"/>
          <w:bCs w:val="1"/>
        </w:rPr>
        <w:t xml:space="preserve">Άρθρο 51</w:t>
      </w:r>
    </w:p>
    <w:p>
      <w:pPr>
        <w:jc w:val="both"/>
      </w:pPr>
      <w:r>
        <w:rPr>
          <w:sz w:val="22"/>
          <w:szCs w:val="22"/>
          <w:b w:val="1"/>
          <w:bCs w:val="1"/>
        </w:rPr>
        <w:t xml:space="preserve">Τροποποίηση των εξουσιοδοτικών διατάξεων του Οργανισμού Διαχείρισης και Ανάπτυξης Πολιτιστικών Πόρων – Τροποποίηση άρθρου 45 ν. 4761/2020</w:t>
      </w:r>
    </w:p>
    <w:p>
      <w:pPr>
        <w:jc w:val="both"/>
      </w:pPr>
      <w:r>
        <w:rPr>
          <w:sz w:val="22"/>
          <w:szCs w:val="22"/>
        </w:rPr>
        <w:t xml:space="preserve">Στο άρθρο 45 του ν. 4761/2020 (Α΄ 248), περί εξουσιοδοτικών διατάξεων, επέρχονται οι ακόλουθες τροποποιήσεις: α) οι παρ. 2, 3, 4, 5, 10, 11, 15 και 21 καταργούνται, β) στην παρ. 12, βα) οι λέξεις «παρ. 3» αντικαθίστανται από τις λέξεις «παρ. 2», ββ) μετά από το αρκτικόλεξο «Δ.Σ.» οι λέξεις «του Ο.Δ.Α.Π., που υποβάλλεται εντός δύο (2) μηνών από την έναρξη ισχύος του παρόντος» αντικαθίστανται από τις λέξεις «της ανώνυμης εταιρείας με την επωνυμία «Οργανισμός Ανάπτυξης και Διαχείρισης Ελληνικής Πολιτιστικής Κληρονομιάς Α.Ε.»», γ) οι παρ. 13 και 14 αντικαθίστανται, και το άρθρο 45 διαμορφώνεται ως εξής:</w:t>
      </w:r>
    </w:p>
    <w:p>
      <w:pPr>
        <w:jc w:val="both"/>
      </w:pPr>
      <w:r>
        <w:rPr>
          <w:sz w:val="22"/>
          <w:szCs w:val="22"/>
        </w:rPr>
        <w:t xml:space="preserve"> </w:t>
      </w:r>
    </w:p>
    <w:p>
      <w:pPr>
        <w:jc w:val="both"/>
      </w:pPr>
      <w:r>
        <w:rPr>
          <w:sz w:val="22"/>
          <w:szCs w:val="22"/>
          <w:b w:val="1"/>
          <w:bCs w:val="1"/>
        </w:rPr>
        <w:t xml:space="preserve">«‘</w:t>
      </w:r>
      <w:r>
        <w:rPr>
          <w:sz w:val="22"/>
          <w:szCs w:val="22"/>
        </w:rPr>
        <w:t xml:space="preserve">Άρθρο 45</w:t>
      </w:r>
    </w:p>
    <w:p>
      <w:pPr>
        <w:jc w:val="both"/>
      </w:pPr>
      <w:r>
        <w:rPr>
          <w:sz w:val="22"/>
          <w:szCs w:val="22"/>
        </w:rPr>
        <w:t xml:space="preserve">Εξουσιοδοτικές διατάξεις</w:t>
      </w:r>
    </w:p>
    <w:p>
      <w:pPr>
        <w:numPr>
          <w:ilvl w:val="0"/>
          <w:numId w:val="51"/>
        </w:numPr>
      </w:pPr>
      <w:r>
        <w:rPr>
          <w:sz w:val="22"/>
          <w:szCs w:val="22"/>
        </w:rPr>
        <w:t xml:space="preserve">Με κοινή απόφαση των Υπουργών Πολιτισμού και Εθνικής Οικονομίας και Οικονομικών, η οποία εκδίδεται μετά από εισήγηση του Προϊσταμένου της Γενικής Διεύθυνσης Αρχαιοτήτων και Πολιτιστικής Κληρονομιάς, καθορίζονται οι προϋποθέσεις και η διαδικασία επιβολής και καταβολής των ποσών της παρ. 10 του άρθρου 15, η διαδικασία, το όργανο, ο τρόπος, τα κριτήρια ή οι συντελεστές καθορισμού του ύψους αυτών, το περιεχόμενο των λειτουργικών δαπανών και προσφερόμενων υπηρεσιών και κάθε άλλο σχετικό θέμα.</w:t>
      </w:r>
    </w:p>
    <w:p>
      <w:pPr>
        <w:numPr>
          <w:ilvl w:val="0"/>
          <w:numId w:val="51"/>
        </w:numPr>
      </w:pPr>
      <w:r>
        <w:rPr>
          <w:sz w:val="22"/>
          <w:szCs w:val="22"/>
        </w:rPr>
        <w:t xml:space="preserve">Καταργείται.</w:t>
      </w:r>
    </w:p>
    <w:p>
      <w:pPr>
        <w:numPr>
          <w:ilvl w:val="0"/>
          <w:numId w:val="51"/>
        </w:numPr>
      </w:pPr>
      <w:r>
        <w:rPr>
          <w:sz w:val="22"/>
          <w:szCs w:val="22"/>
        </w:rPr>
        <w:t xml:space="preserve">Καταργείται.</w:t>
      </w:r>
    </w:p>
    <w:p>
      <w:pPr>
        <w:numPr>
          <w:ilvl w:val="0"/>
          <w:numId w:val="51"/>
        </w:numPr>
      </w:pPr>
      <w:r>
        <w:rPr>
          <w:sz w:val="22"/>
          <w:szCs w:val="22"/>
        </w:rPr>
        <w:t xml:space="preserve">Καταργείται.</w:t>
      </w:r>
    </w:p>
    <w:p>
      <w:pPr>
        <w:numPr>
          <w:ilvl w:val="0"/>
          <w:numId w:val="51"/>
        </w:numPr>
      </w:pPr>
      <w:r>
        <w:rPr>
          <w:sz w:val="22"/>
          <w:szCs w:val="22"/>
        </w:rPr>
        <w:t xml:space="preserve">Καταργείται.</w:t>
      </w:r>
    </w:p>
    <w:p>
      <w:pPr>
        <w:numPr>
          <w:ilvl w:val="0"/>
          <w:numId w:val="51"/>
        </w:numPr>
      </w:pPr>
      <w:r>
        <w:rPr>
          <w:sz w:val="22"/>
          <w:szCs w:val="22"/>
        </w:rPr>
        <w:t xml:space="preserve">Για την εφαρμογή της παρ. 1 του άρθρου 9 εκδίδεται κοινή απόφαση των Υπουργών Εθνικής Οικονομίας και Οικονομικών και Πολιτισμού, με την οποία καθορίζεται το ύψος της μηνιαίας αποζημίωσης του Προέδρου του Δ.Σ.</w:t>
      </w:r>
    </w:p>
    <w:p>
      <w:pPr>
        <w:numPr>
          <w:ilvl w:val="0"/>
          <w:numId w:val="51"/>
        </w:numPr>
      </w:pPr>
      <w:r>
        <w:rPr>
          <w:sz w:val="22"/>
          <w:szCs w:val="22"/>
        </w:rPr>
        <w:t xml:space="preserve">Για την εφαρμογή της παρ. 2 του άρθρου 9 εκδίδεται κοινή απόφαση των Υπουργών Εθνικής Οικονομίας και Οικονομικών και Πολιτισμού, με την οποία καθορίζεται το ύψος της αποζημίωσης ανά συνεδρίαση που καταβάλλεται στον Αντιπρόεδρο, τα μέλη και τον γραμματέα του Δ.Σ.</w:t>
      </w:r>
    </w:p>
    <w:p>
      <w:pPr>
        <w:numPr>
          <w:ilvl w:val="0"/>
          <w:numId w:val="51"/>
        </w:numPr>
      </w:pPr>
      <w:r>
        <w:rPr>
          <w:sz w:val="22"/>
          <w:szCs w:val="22"/>
        </w:rPr>
        <w:t xml:space="preserve">Κατ’ εφαρμογή της υποπερ. βα’ της παρ. 3 του άρθρου 10, με απόφαση του Δ.Σ. του Ο.Δ.Α.Π. εγκρίνονται ο Εσωτερικός Κανονισμός Λειτουργίας του Ο.Δ.Α.Π. με περιεχόμενο τη θέσπιση κανόνων εσωτερικής λειτουργίας των οργανικών μονάδων του Ο.Δ.Α.Π., ο Κανονισμός Λειτουργίας Δ.Σ. με περιεχόμενο τη θέσπιση κανόνων λειτουργίας του Διοικητικού Συμβουλίου και οι Κανονισμοί Διαχείρισης Έργων, Προμηθειών και Υπηρεσιών του Οργανισμού με αντικείμενο την τυποποίηση και εξειδίκευση των διατάξεων περί δημοσίων έργων, προμηθειών και υπηρεσιών και την προσαρμογή της λειτουργίας του Ο.Δ.Α.Π. σε αυτές, οι οποίοι εγκρίνονται μετά από γνώμη της Ενιαίας Αρχής Δημοσίων Συμβάσεων.</w:t>
      </w:r>
    </w:p>
    <w:p>
      <w:pPr>
        <w:numPr>
          <w:ilvl w:val="0"/>
          <w:numId w:val="51"/>
        </w:numPr>
      </w:pPr>
      <w:r>
        <w:rPr>
          <w:sz w:val="22"/>
          <w:szCs w:val="22"/>
        </w:rPr>
        <w:t xml:space="preserve">Για την εφαρμογή της υποπερ. βδ’ της παρ. 2 του άρθρου 10 εκδίδεται απόφαση του Δ.Σ. του Ο.Δ.Α.Π., περί μεταβίβασης αρμοδιοτήτων ή μεταβίβασης εξουσιοδότησης υπογραφών.</w:t>
      </w:r>
    </w:p>
    <w:p>
      <w:pPr>
        <w:numPr>
          <w:ilvl w:val="0"/>
          <w:numId w:val="51"/>
        </w:numPr>
      </w:pPr>
      <w:r>
        <w:rPr>
          <w:sz w:val="22"/>
          <w:szCs w:val="22"/>
        </w:rPr>
        <w:t xml:space="preserve">Καταργείται.</w:t>
      </w:r>
    </w:p>
    <w:p>
      <w:pPr>
        <w:numPr>
          <w:ilvl w:val="0"/>
          <w:numId w:val="51"/>
        </w:numPr>
      </w:pPr>
      <w:r>
        <w:rPr>
          <w:sz w:val="22"/>
          <w:szCs w:val="22"/>
        </w:rPr>
        <w:t xml:space="preserve">Καταργείται.</w:t>
      </w:r>
    </w:p>
    <w:p>
      <w:pPr>
        <w:numPr>
          <w:ilvl w:val="0"/>
          <w:numId w:val="51"/>
        </w:numPr>
      </w:pPr>
      <w:r>
        <w:rPr>
          <w:sz w:val="22"/>
          <w:szCs w:val="22"/>
        </w:rPr>
        <w:t xml:space="preserve">Για την εφαρμογή της παρ. 2 του άρθρου 14, με απόφαση του Υπουργού Πολιτισμού, μετά από γνώμη του Δ.Σ. της ανώνυμης εταιρείας με την επωνυμία «Οργανισμός Ανάπτυξης και Διαχείρισης Ελληνικής Πολιτιστικής Κληρονομιάς Α.Ε.», καθορίζονται οι διαδικασίες παραγωγής και επιλογής ειδών τρίτων που προορίζονται για πώληση και διάθεση από τα πωλητήρια του Ο.Δ.Α.Π., καθώς και οι διαδικασίες καταβολής τελών χρήσης και απόδοσης ποσοστών από τις πωλήσεις, όπου απαιτείται.</w:t>
      </w:r>
    </w:p>
    <w:p>
      <w:pPr>
        <w:numPr>
          <w:ilvl w:val="0"/>
          <w:numId w:val="51"/>
        </w:numPr>
      </w:pPr>
      <w:r>
        <w:rPr>
          <w:sz w:val="22"/>
          <w:szCs w:val="22"/>
        </w:rPr>
        <w:t xml:space="preserve">Για την εφαρμογή της παρ. 1 του άρθρου 15, καθορίζονται από το Δ.Σ. οι όροι και οι προϋποθέσεις διακανονισμού οφειλών.</w:t>
      </w:r>
    </w:p>
    <w:p>
      <w:pPr>
        <w:numPr>
          <w:ilvl w:val="0"/>
          <w:numId w:val="51"/>
        </w:numPr>
      </w:pPr>
      <w:r>
        <w:rPr>
          <w:sz w:val="22"/>
          <w:szCs w:val="22"/>
        </w:rPr>
        <w:t xml:space="preserve">Για την εφαρμογή της παρ. 2 του άρθρου 15:</w:t>
      </w:r>
    </w:p>
    <w:p>
      <w:pPr>
        <w:jc w:val="both"/>
      </w:pPr>
      <w:r>
        <w:rPr>
          <w:sz w:val="22"/>
          <w:szCs w:val="22"/>
        </w:rPr>
        <w:t xml:space="preserve">α) Οι ημέρες και οι ώρες επίσκεψης στους αρχαιολογικούς χώρους και τα μουσεία των περ. στ) έως ι) του άρθρου 28 του π.δ. 4/2018 (Α΄ 7) καθορίζονται ενιαία ή μεμονωμένα με απόφαση του Υπουργού Πολιτισμού.</w:t>
      </w:r>
    </w:p>
    <w:p>
      <w:pPr>
        <w:jc w:val="both"/>
      </w:pPr>
      <w:r>
        <w:rPr>
          <w:sz w:val="22"/>
          <w:szCs w:val="22"/>
        </w:rPr>
        <w:t xml:space="preserve">β) Με κοινή απόφαση των Υπουργών Εθνικής Οικονομίας και Οικονομικών και Πολιτισμού, η οποία εκδίδεται μετά από εισήγηση της ανώνυμης εταιρείας με την επωνυμία «Οργανισμός Ανάπτυξης και Διαχείρισης Ελληνικής Πολιτιστικής Κληρονομιάς Α.Ε.» και γνώμη του Δ.Σ. του Ο.Δ.Α.Π. και του αρμόδιου Κεντρικού Συμβουλίου του Κώδικα νομοθεσίας για την προστασία των αρχαιοτήτων και εν γένει της πολιτιστικής κληρονομιάς (ν. 4858/2021, Α’ 220), καθορίζονται η τιμή των εισιτηρίων εισόδου σε μουσεία, αρχαιολογικούς χώρους, ιστορικούς τόπους και μνημεία, ανά κατηγορία επισκεψιμότητας, ο τύπος των εισιτηρίων, μεμονωμένου ή ενιαίου ψηφιακού εισιτηρίου «Hellenic Heritage Pass», οι κατηγορίες του ενιαίου ψηφιακού εισιτηρίου «Hellenic Heritage Pass», οι γενικές κατηγορίες κινήτρων που παρέχονται για την ενίσχυση της επισκεψιμότητας στους ανωτέρω χώρους των κατηγοριών επισκεψιμότητας Γ, Δ και Ε, οι δικαιούχοι και το μέγιστο ποσοστό έκπτωσης των κινήτρων, οι κατηγορίες των προσώπων που απαλλάσσονται εν όλω ή εν μέρει από την καταβολή εισιτηρίου, οι ημέρες ελεύθερης επίσκεψης του κοινού, το αντίτιμο που καταβάλλουν οι τελικοί χρήστες για υπηρεσίες που παρέχονται στο κοινό σε αρχαιολογικούς χώρους, μουσεία και μνημεία με φυσική παρουσία ή μέσω διαδικτύου, καθώς και κάθε άλλη αναγκαία λεπτομέρεια για την εφαρμογή της ανωτέρω παραγράφου.</w:t>
      </w:r>
    </w:p>
    <w:p>
      <w:pPr>
        <w:numPr>
          <w:ilvl w:val="0"/>
          <w:numId w:val="52"/>
        </w:numPr>
      </w:pPr>
      <w:r>
        <w:rPr>
          <w:sz w:val="22"/>
          <w:szCs w:val="22"/>
        </w:rPr>
        <w:t xml:space="preserve">Καταργείται.</w:t>
      </w:r>
    </w:p>
    <w:p>
      <w:pPr>
        <w:numPr>
          <w:ilvl w:val="0"/>
          <w:numId w:val="52"/>
        </w:numPr>
      </w:pPr>
      <w:r>
        <w:rPr>
          <w:sz w:val="22"/>
          <w:szCs w:val="22"/>
        </w:rPr>
        <w:t xml:space="preserve">Για την εφαρμογή της παρ. 4 του άρθρου 15, με κοινή απόφαση των Υπουργών Πολιτισμού και Εθνικής Οικονομίας και Οικονομικών, μετά από πρόταση του Δ.Σ. του Ο.Δ.Α.Π. και γνώμη του αρμόδιου Συμβουλίου του Κώδικα νομοθεσίας για την προστασία των αρχαιοτήτων και εν γένει της πολιτιστικής κληρονομιάς, καθορίζεται το ύψος των τελών των περ. θ) έως ι) της παρ. 1 του άρθρου 14.</w:t>
      </w:r>
    </w:p>
    <w:p>
      <w:pPr>
        <w:numPr>
          <w:ilvl w:val="0"/>
          <w:numId w:val="52"/>
        </w:numPr>
      </w:pPr>
      <w:r>
        <w:rPr>
          <w:sz w:val="22"/>
          <w:szCs w:val="22"/>
        </w:rPr>
        <w:t xml:space="preserve">Για την εφαρμογή της παρ. 7 του άρθρου 15, με κοινή απόφαση των Υπουργών Εθνικής Οικονομίας και Οικονομικών και Πολιτισμού καθορίζεται το ποσοστό εσόδων άλλων εποπτευόμενων φορέων που αποδίδεται στον Ο.Δ.Α.Π.</w:t>
      </w:r>
    </w:p>
    <w:p>
      <w:pPr>
        <w:jc w:val="both"/>
      </w:pPr>
      <w:r>
        <w:rPr>
          <w:sz w:val="22"/>
          <w:szCs w:val="22"/>
        </w:rPr>
        <w:t xml:space="preserve">17α. Για την εφαρμογή της περ. β) της παρ. 1 του άρθρου 16, περί πληρωμής επιδόματος προς υπαλλήλους του Ο.Δ.Α.Π. ή του Υπουργείου Πολιτισμού, που ασκούν χρέη διαχειριστή εσόδων ή επόπτη ή Προϊσταμένου περιφερειακού γραφείου, με κοινή απόφαση των Υπουργών Εθνικής Οικονομίας και Οικονομικών και Πολιτισμού, καθορίζονται οι όροι, οι προϋποθέσεις και η διαδικασία καταβολής του μηνιαίου επιδόματος στους δικαιούχους</w:t>
      </w:r>
    </w:p>
    <w:p>
      <w:pPr>
        <w:jc w:val="both"/>
      </w:pPr>
      <w:r>
        <w:rPr>
          <w:sz w:val="22"/>
          <w:szCs w:val="22"/>
        </w:rPr>
        <w:t xml:space="preserve">17β. Με απόφαση του Υπουργού Πολιτισμού καθορίζονται, ενιαία ή μεμονωμένα, οι ημέρες και οι ώρες επίσκεψης του πρώτου εδαφίου της παρ. 2 του άρθρου 15.</w:t>
      </w:r>
    </w:p>
    <w:p>
      <w:pPr>
        <w:numPr>
          <w:ilvl w:val="0"/>
          <w:numId w:val="53"/>
        </w:numPr>
      </w:pPr>
      <w:r>
        <w:rPr>
          <w:sz w:val="22"/>
          <w:szCs w:val="22"/>
        </w:rPr>
        <w:t xml:space="preserve">Για την εφαρμογή της περ. κ’ του άρθρου 16, με κοινή απόφαση των Υπουργών Πολιτισμού και Εθνικής Οικονομίας και Οικονομικών, καθορίζονται το ύψος και οι προϋποθέσεις χορήγησης της αποζημίωσης στα μέλη του Κεντρικού Αρχαιολογικού Συμβουλίου και του Κεντρικού Συμβουλίου Νεότερων Μνημείων του Κώδικα νομοθεσίας για την προστασία των αρχαιοτήτων και εν γένει της πολιτιστικής κληρονομιάς, για τη συμμετοχή τους στις συνεδριάσεις των οργάνων.</w:t>
      </w:r>
    </w:p>
    <w:p>
      <w:pPr>
        <w:numPr>
          <w:ilvl w:val="0"/>
          <w:numId w:val="53"/>
        </w:numPr>
      </w:pPr>
      <w:r>
        <w:rPr>
          <w:sz w:val="22"/>
          <w:szCs w:val="22"/>
        </w:rPr>
        <w:t xml:space="preserve">Για την εφαρμογή του δευτέρου εδαφίου της παρ. 1 του άρθρου 17, σε προθεσμία δύο (2) μηνών από την έναρξη ισχύος του παρόντος, με κοινή απόφαση των Υπουργών Εθνικής Οικονομίας και Οικονομικών και Πολιτισμού, μετά από γνώμη του Δ.Σ. του Ο.Δ.Α.Π. καθορίζονται η διαδικασία οριστικοποίησης και απόδοσης του ποσοστού που αποδίδεται από τον Ο.Δ.Α.Π. στον κρατικό προϋπολογισμό και κάθε άλλη αναγκαία λεπτομέρεια για την εφαρμογή της διάταξης αυτής.</w:t>
      </w:r>
    </w:p>
    <w:p>
      <w:pPr>
        <w:numPr>
          <w:ilvl w:val="0"/>
          <w:numId w:val="53"/>
        </w:numPr>
      </w:pPr>
      <w:r>
        <w:rPr>
          <w:sz w:val="22"/>
          <w:szCs w:val="22"/>
        </w:rPr>
        <w:t xml:space="preserve">Στην περίπτωση οικονομικού έτους, κατά το οποίο τα έσοδα από τη λειτουργία του Ο.Δ.Α.Π. δεν επαρκούν για την κάλυψη των βασικών λειτουργικών αναγκών του, λόγω απρόβλεπτων καταστάσεων, κατ’ εφαρμογή της παρ. 4 του άρθρου 17, εκδίδεται κοινή απόφαση των Υπουργών Εθνικής Οικονομίας και Οικονομικών και Πολιτισμού, μετά από αιτιολογημένη πρόταση του Δ.Σ. του Ο.Δ.Α.Π., με την οποία το ποσοστό της παρ. 1 του άρθρου 14 μειώνεται για το συγκεκριμένο έτος, ανάλογα με το ύψος του παρουσιαζόμενου ελλείμματος.</w:t>
      </w:r>
    </w:p>
    <w:p>
      <w:pPr>
        <w:numPr>
          <w:ilvl w:val="0"/>
          <w:numId w:val="53"/>
        </w:numPr>
      </w:pPr>
      <w:r>
        <w:rPr>
          <w:sz w:val="22"/>
          <w:szCs w:val="22"/>
        </w:rPr>
        <w:t xml:space="preserve">Καταργείται.».</w:t>
      </w:r>
    </w:p>
    <w:p/>
    <w:p>
      <w:pPr/>
      <w:r>
        <w:rPr>
          <w:sz w:val="22"/>
          <w:szCs w:val="22"/>
          <w:b w:val="1"/>
          <w:bCs w:val="1"/>
        </w:rPr>
        <w:t xml:space="preserve">Σχόλια επί της ενότητας 2</w:t>
      </w:r>
    </w:p>
    <w:p>
      <w:pPr/>
      <w:r>
        <w:rPr>
          <w:b w:val="1"/>
          <w:bCs w:val="1"/>
        </w:rPr>
        <w:t xml:space="preserve">ΠΕΤΡΟΣ – 10 Ιουλίου 2026, 09:13</w:t>
      </w:r>
    </w:p>
    <w:p>
      <w:pPr/>
      <w:r>
        <w:rPr/>
        <w:t xml:space="preserve">Από την διαβούλευση λείπει βάσει Ν. 4622/19 άρθρο 61 παρ.2: Κατά τη φάση της διαβούλευσης αναρτάται στον δικτυακό τόπο προσχέδιο των διατάξεων του νομοσχεδίου καθώς και μία προκαταρκτική Ανάλυση Συνεπειών Ρύθμισης και παρέχεται η δυνατότητα κατ’ άρθρον σχολιασμού.</w:t>
      </w:r>
    </w:p>
    <w:p/>
    <w:p>
      <w:pPr/>
      <w:r>
        <w:rPr>
          <w:b w:val="1"/>
          <w:bCs w:val="1"/>
        </w:rPr>
        <w:t xml:space="preserve">α – 16 Ιουλίου 2026, 11:01</w:t>
      </w:r>
    </w:p>
    <w:p>
      <w:pPr/>
      <w:r>
        <w:rPr/>
        <w:t xml:space="preserve">Το σχόλιο αφορά στο άρθρο 47: Ο ΟΔΑΠ, δεν έχει πια δικαστικές υποθέσεις διότι τις έχει δώσει στην ανώνυμη εταιρεία, η οποία χρηματοδοτείται από το Δημόσιο για να προσλάβει άλλους ιδιώτες δικηγόρους, οι οποίοι δεν θα ασχολούνται με όλες τις υποθέσεις της ανώνυμης εταιρείας αλλά θα γίνονται και "αναθέσεις" σε άλλα επιπλέον ιδιωτικά δικηγορικά γραφεία ! Επίσης, ο ΟΔΑΠ θα έχει και άλλο δικό του "γραφείο νομικής υποστήριξης" με προϊστάμενο και δικηγόρους, οι οποίοι, αφού δεν θα έχουν δικαστικές υποθέσεις (τις έχει η α.ε.), θα πληρώνονται, επίσης με δημόσιο χρήμα, για να "συμβουλεύουν" ! Και επιπλέον, ο ΟΔΑΠ θα έχει και γραφείο του Νομικού Συμβουλίου του Κράτους, ο δε Νομικός Σύμβουλος του Κράτους (που είναι ο μόνος δημόσιος υπάλληλος σε όλο αυτό το νομικό πλήθος), δεν θα προϊσταται των ιδιωτών δικηγόρων αλλά οφείλει να "συνεργάζεται" με αυτούς, ενώ δεν έχει κανέναν έλεγχο επί των ιδιωτών δικηγόρων της ανώνυμης εταιρείας! Και το δέχεται αυτό η Πρόεδρος του Νομικού Συμβουλίου του Κράτους;  Τι θα πει ¨συνεργάζεται"; Τι θα πει ότι το γραφείο νομικής υποστήριξης του ΟΔΑΠ είναι "αδιαβάθμητο";</w:t>
      </w:r>
    </w:p>
    <w:p/>
    <w:p>
      <w:pPr/>
      <w:r>
        <w:rPr>
          <w:b w:val="1"/>
          <w:bCs w:val="1"/>
        </w:rPr>
        <w:t xml:space="preserve">Α********* Π************** – 16 Ιουλίου 2026, 11:14</w:t>
      </w:r>
    </w:p>
    <w:p>
      <w:pPr/>
      <w:r>
        <w:rPr/>
        <w:t xml:space="preserve">Το σχόλιο αφορά στο άρθρο 47: Ο ΟΔΑΠ, δεν έχει πια δικαστικές υποθέσεις διότι τις έχει δώσει στην ανώνυμη εταιρεία, η οποία χρηματοδοτείται από το Δημόσιο για να προσλάβει άλλους ιδιώτες δικηγόρους, οι οποίοι δεν θα ασχολούνται με όλες τις υποθέσεις της ανώνυμης εταιρείας αλλά θα γίνονται και "αναθέσεις" σε άλλα επιπλέον ιδιωτικά δικηγορικά γραφεία ! Επίσης, ο ΟΔΑΠ θα έχει και άλλο δικό του "γραφείο νομικής υποστήριξης" με προϊστάμενο και δικηγόρους, οι οποίοι, αφού δεν θα έχουν δικαστικές υποθέσεις (τις έχει η α.ε.), θα πληρώνονται, επίσης με δημόσιο χρήμα, για να "συμβουλεύουν" ! Και επιπλέον, ο ΟΔΑΠ θα έχει και γραφείο του Νομικού Συμβουλίου του Κράτους, ο δε Νομικός Σύμβουλος του Κράτους (που είναι ο μόνος δημόσιος υπάλληλος σε όλο αυτό το νομικό πλήθος), δεν θα προϊσταται των ιδιωτών δικηγόρων αλλά οφείλει να "συνεργάζεται" με αυτούς, ενώ δεν έχει κανέναν έλεγχο επί των ιδιωτών δικηγόρων της ανώνυμης εταιρείας! Και το δέχεται αυτό η Πρόεδρος του Νομικού Συμβουλίου του Κράτους; Τι θα πει ¨συνεργάζεται"; Τι θα πει ότι το γραφείο νομικής υποστήριξης του ΟΔΑΠ είναι "αδιαβάθμητο";</w:t>
      </w:r>
    </w:p>
    <w:p/>
    <w:p>
      <w:pPr/>
      <w:r>
        <w:rPr>
          <w:b w:val="1"/>
          <w:bCs w:val="1"/>
        </w:rPr>
        <w:t xml:space="preserve">ΜΩΡΑΪΤΟΥ ΓΕΩΡΓΙΑΝΝΑ – 17 Ιουλίου 2026, 11:43</w:t>
      </w:r>
    </w:p>
    <w:p>
      <w:pPr/>
      <w:r>
        <w:rPr/>
        <w:t xml:space="preserve">Άρθρο 31 Στους σκοπούς του ΟΔΑΠ παρ. 2 ε) να συμπληρωθεί στο αντικείμενο των εκδόσεων η συντήρηση και η αρχαιομετρία, επιστημονικά πεδία που υφίστανται από την ίδρυση του νέου ελληνικού κράτους και περιέχονται στις εκδόσεις της Αρχαιολογικής Εφημερίδας από τον 19ο αι.</w:t>
      </w:r>
    </w:p>
    <w:p/>
    <w:p>
      <w:pPr/>
      <w:r>
        <w:rPr/>
        <w:t xml:space="preserve">Αρθρο 49 και 50 Στο προσωπικό του ΟΔΑΠ δεν προβλέπονται θέσεις ΠΕ Συντηρητών Αρχαιοτήτων &amp; Εργων Τέχνης. Οι δε θέσεις ΤΕ Συντηρητών Αρχαιοτήτων &amp; Εργων Τέχνης έχουν Ειδικότητα Συντηρητών Αρχαιοτήτων &amp; Εργων Τέχνης !!!</w:t>
      </w:r>
    </w:p>
    <w:p/>
    <w:p>
      <w:pPr/>
      <w:r>
        <w:rPr/>
        <w:t xml:space="preserve">Από τα παραπάνω φαίνεται ξεκάθαρα η μη συμπερίληψη και γενικότερα η μη επικαιροποίηση θεμάτων του τομέα της συντήρησης παρά τη γενική αποδοχή ότι αποτελεί πυλώνα της αρχαιολογίας και εν γένει της πολιτιστικής κληρονομιάς.</w:t>
      </w:r>
    </w:p>
    <w:p/>
    <w:p>
      <w:pPr/>
      <w:r>
        <w:rPr>
          <w:b w:val="1"/>
          <w:bCs w:val="1"/>
        </w:rPr>
        <w:t xml:space="preserve">Ε**** Κ***** – 17 Ιουλίου 2026, 15:04</w:t>
      </w:r>
    </w:p>
    <w:p>
      <w:pPr/>
      <w:r>
        <w:rPr/>
        <w:t xml:space="preserve">Στο άρθρο 50 να προστεθεί:</w:t>
      </w:r>
    </w:p>
    <w:p/>
    <w:p/>
    <w:p>
      <w:pPr/>
      <w:r>
        <w:rPr/>
        <w:t xml:space="preserve">Σύσταση δύο (2) θέσεων ΙΔΑΧ  ΠΕ Αρχαιολόγων - ειδικότητας Πολιτιστικής Διαχείρισης</w:t>
      </w:r>
    </w:p>
    <w:p/>
    <w:p>
      <w:pPr/>
      <w:r>
        <w:rPr>
          <w:b w:val="1"/>
          <w:bCs w:val="1"/>
        </w:rPr>
        <w:t xml:space="preserve">ΚΟΝΗΣ ΠΑΝΑΓΙΩΤΗΣ – 19 Ιουλίου 2026, 15:25</w:t>
      </w:r>
    </w:p>
    <w:p>
      <w:pPr/>
      <w:r>
        <w:rPr/>
        <w:t xml:space="preserve">Η διαχρονική ροή παρεμβάσεων στο θεσμικό πλαίσιο του Οργανισμού Διαχείρισης και Ανάπτυξης Πολιτιστικών Πόρων Ο.Δ.Α.Π. [από την εποχή του Ταμείου Αρχαιολογικών Πόρων και Απαλλοτριώσεων (ΤΑΠΑ), σε Ταμείο Αρχαιολογικών Πόρων (ΤΑΠ), έως και σήμερα, με τις επιμέρους τροποποιήσεις του Οργανισμού, δείχνει σταδιακή μετατόπιση αρμοδιοτήτων (αναψυκτήρια για αρχή, πωλητήρια στην συνέχεια) προς εκμετάλλευση, με στόχο την μεγιστοποίηση εσόδων. Στα πωλητήρια, το άλλοθι ήταν η έλλειψη πωλητών, η οποία όμως δεν αντιμετωπίστηκε με προσλήψεις μόνιμου προσωπικού. Με το παρόν σχέδιο νόμου μετατοπίζονται ακόμη περισσότερες αρμοδιότητες στην υπό σύσταση εταιρία.</w:t>
      </w:r>
    </w:p>
    <w:p/>
    <w:p>
      <w:pPr/>
      <w:r>
        <w:rPr/>
        <w:t xml:space="preserve">Η μεγιστοποίηση των εσόδων του φορέα αποτέλεσε ζητούμενο ήδη από την εποχή των μνημονίων, στο email Χαρδούβελη, όπου περιλαμβάνονταν πρόβλεψη για αύξηση των  εσόδων από εισιτήρια κλπ. ώστε να συνδράμουν στον κρατικό προϋπολογισμό.</w:t>
      </w:r>
    </w:p>
    <w:p/>
    <w:p>
      <w:pPr/>
      <w:r>
        <w:rPr/>
        <w:t xml:space="preserve">Παράλληλα, υπήρξε συνεχή μείωση προσωπικού, αθρόες συνταξιοδοτήσεις λόγω πλήρωσης του εργασιακού βίου πλήθους εργαζομένων, προσλήψεις με φειδώ, ενώ στα μνημονιακά χρόνια ίσχυσε και ο κανόνας 1 πρόσληψη ανά 5 αποχωρήσεις στο δημόσιο. Η κατάσταση του προσωπικού επιδεινώθηκε. Η υποστελέχωση του φορέα άρχισε ολοένα να γίνεται περισσότερο ορατή.</w:t>
      </w:r>
    </w:p>
    <w:p/>
    <w:p>
      <w:pPr/>
      <w:r>
        <w:rPr/>
        <w:t xml:space="preserve">Έπειτα, προστέθηκαν οι δράσεις και τα έργα του Ταμείου Ανάκαμψης και Ανθεκτικότητας, έγιναν κάποιες προσλήψεις σε προσωπικό, συνεχίστηκαν οι αποχωρήσεις (συνταξιοδοτήσεις, ακόμα και παραιτήσεις) με ολοένα και μεγαλύτερη υποστελέχωση. Το ΤΑΑ με τα χρονοδιαγράμματα και τα ορόσημα, το προσωπικό να μην επαρκεί, οδήγησε στην ανάγκη ο φορέας να αποταθεί σε εξωτερικούς αναδόχους, συμβούλους, εταιρίες, προκειμένου να προλάβει τα ορόσημα.</w:t>
      </w:r>
    </w:p>
    <w:p/>
    <w:p>
      <w:pPr/>
      <w:r>
        <w:rPr/>
        <w:t xml:space="preserve">Ο ΟΔΑΠ προέβλεπε 300 οργανικές θέσεις μόνιμου προωπικού, με την στελέχωση να μην ξεπερνά το 55-60%. Το προσωπικό του φορέα “τρέχοντας” και τα έργα του ΤΑΑ, αθροιστικά στις ήδη υπάρχουσες αρμοδιότητες και παρόλη την ΥΠΟΣΤΕΛΕΧΩΣΗ, πασχίζει να φέρει εις πέρας τον όγκο των προς περάτωση εργασιών, οι οποίες και έχουν διογκωθεί (βλ. επιτροπές διαγωνισμών, πρωτοβάθμιες/δευτεροβάθμιες/αυτοδίκαιες επιτροπές παρακολούθησης/παραλαβής συμβάσεων), με την υλοποίηση όσων έχουν ήδη συντελεστεί, να οφείλεται στο υπάρχον στελεχιακό δυναμικό του ΟΔΑΠ. </w:t>
      </w:r>
    </w:p>
    <w:p/>
    <w:p>
      <w:pPr/>
      <w:r>
        <w:rPr/>
        <w:t xml:space="preserve">Με το παρόν σχέδιο νόμου:</w:t>
      </w:r>
    </w:p>
    <w:p/>
    <w:p>
      <w:pPr/>
      <w:r>
        <w:rPr/>
        <w:t xml:space="preserve">-	μεταφέρονται αρμοδιότητες του ΟΔΑΠ προς την υπό σύσταση Α.Ε.</w:t>
      </w:r>
    </w:p>
    <w:p/>
    <w:p>
      <w:pPr/>
      <w:r>
        <w:rPr/>
        <w:t xml:space="preserve">Από τις ρυθμίσεις του άρθρου 42 (επί του άρθρου 21.3 και 21.5 του ν.4761/2020), του άρθρου 44 (επί του άρθρου 27.2 του ν.4761/2020) και του άρθρου 45 (επί του άρθρου 30.2.β και γ), περί παρακολούθησης αντίστοιχα των επιμέρους αρμοδιοτήτων, σκόπιμο είναι να υπάρχει σαφής οριοθέτηση - διαχωρισμός μεταξύ των αρμοδιοτήτων του ΟΔΑΠ και της υπό σύσταση εταιρίας.</w:t>
      </w:r>
    </w:p>
    <w:p/>
    <w:p/>
    <w:p>
      <w:pPr/>
      <w:r>
        <w:rPr/>
        <w:t xml:space="preserve">-	για τα άρθρα 48,49,50, καταργούνται 66 κενές οργανικές θέσεις του οργανισμού (22% του συνόλου).</w:t>
      </w:r>
    </w:p>
    <w:p/>
    <w:p>
      <w:pPr/>
      <w:r>
        <w:rPr/>
        <w:t xml:space="preserve">Μεταξύ αυτών, στις Τεχνικές Υπηρεσίες του ΟΔΑΠ, καταργούνται οργανικές θέσεις, παρόλο το έργο που επιτελούν, από τα εν εξελίξει έργα του ΤΑΑ έως τα λοιπά έργα, ενώ  απεναντίας, θα έπρεπε να στελεχωθούν.</w:t>
      </w:r>
    </w:p>
    <w:p/>
    <w:p>
      <w:pPr/>
      <w:r>
        <w:rPr/>
        <w:t xml:space="preserve">Ομοίως, στο Τμήμα Αποτυπώσεων, Κτηματολογίου και Γεωχωρικών Δεδομένων καταργείται 1 θέση Αγρονόμων Τοπογράφων Μηχανικών ΠΕ και μία (1) θέση ΙΔΑΧ Τοπογράφου Μηχανικού ΤΕ, παρόλο που δεν υπάρχει απομείωση των αρμοδιοτήτων του (αντικείμενο αποτελούν οι κτηματογραφήσεις για απαλλοτριώσεις για αρχαιολογικούς σκοπούς ανά την επικράτεια). Επιπλέον, βάσει του άρθρου 40 (που τροποποιεί το άρθρο 16.1.δ του 4761/2020), φαίνεται να υπάρχει προσαύξηση του αντικειμένου του Τμήματος. Μία επιπλέον θέση ΠΕ Τοπογράφων που δείχνει να καταργείται, δεν θα μπορούσε να καταργηθεί διότι είναι δεσμευμένη προς πλήρωση από διαγωνισμό του ΑΣΕΠ.</w:t>
      </w:r>
    </w:p>
    <w:p/>
    <w:p/>
    <w:p>
      <w:pPr/>
      <w:r>
        <w:rPr/>
        <w:t xml:space="preserve">-	Από τις ρυθμίσεις των άρθρων 41 και 47, με την μετονομασία σε γραφείο του νομικού τμήματος του φορέα, εν μέσω πλήθους διαγωνισμών και πολυάριθμων επιτροπών παραλαβών συμβάσεων από τις οποίες ανακύπτουν νομικά ερωτήματα προς το Τμήμα Νομικής Υποστήριξης του φορέα, δεν διαφαίνεται πώς η ρύθμιση αυτή θα συμβάλλει στην έγκαιρη επίλυση θεμάτων.</w:t>
      </w:r>
    </w:p>
    <w:p/>
    <w:p>
      <w:pPr/>
      <w:r>
        <w:rPr/>
        <w:t xml:space="preserve">-	Αποτελεί οξύμωρο, αναφορικά με το άρθρο 1 περί “…εκσυγχρονισμού της επιχειρησιακής και εμπορικής λειτουργίας του ΟΔΑΠ”, το άρθρο 2 περί “…συνιστά τον βασικό εκτελεστικό και επιχειρησιακό βραχίονα του Ο.Δ.Α.Π.”, στο άρθρο 16 περί μετοχικού κεφαλαίου-μετοχές αναφέρεται ότι ο ΟΔΑΠ θα κατέχει στον εκτελεστικό - επιχειρησιακό βραχίονά του μόλις 10% του μετοχικού κεφαλαίου, που ενώ στην παρ. 1 καταγράφονται ως αμεταβίβαστες οι μετοχές, στην παρ. 4 διευκρινίζεται ότι “το ποσοστό συμμετοχής του Ελληνικού Δημοσίου στο μετοχικό κεφάλαιο της Εταιρείας δεν μπορεί σε καμία περίπτωση να είναι κατώτερο του 90% του εκάστοτε μετοχικού κεφαλαίου αυτής, το οποίο και δεν μπορεί να τροποποιηθεί με απόφαση της Γ.Σ. της Εταιρείας (παρ. 5 του ιδίου άρθρου), ενώ στο άρθρο 27.8 “ο Ο.Δ.Α.Π. υποχρεούται … να καταβάλλει στην Εταιρεία εφάπαξ επιχορήγηση ποσού 3.000.000 ευρώ”, όσο αντιστοιχεί στο σύνολο του μετοχικού κεφαλαίου του άρθρου 16, ενώ θα καταβάλει και “το ποσό της διαχειριστικής αμοιβής που λαμβάνει η Εταιρεία” βάσει της παρ. 8 του άρθρου 6 του σχεδίου νόμου, όντας μόνο μέτοχος του 10%.</w:t>
      </w:r>
    </w:p>
    <w:p/>
    <w:p>
      <w:pPr/>
      <w:r>
        <w:rPr/>
        <w:t xml:space="preserve">Ενώ στο άρθρο 6.4.α. “…η Εταιρεία κάνει χρήση, άνευ ανταλλάγματος, των εργαστηρίων του Ο.Δ.Α.Π. και του εξοπλισμού τους, επικουρούμενη από το προσωπικό του Ο.Δ.Α.Π…”.</w:t>
      </w:r>
    </w:p>
    <w:p/>
    <w:p>
      <w:pPr/>
      <w:r>
        <w:rPr/>
        <w:t xml:space="preserve">-	Σύμφωνα με την παρ. ιβ) του άρθρου 3 του σχεδίου νόμου “Μοντέλο: είναι το τηρούμενο στα εργαστήρια του Ο.Δ.Α.Π. πρότυπο προϊόν, κυριότητας του Ο.Δ.Α.Π., που αναπαράγεται από τη μήτρ…”, ενώ σύμφωνα με την παρ. κ) του ιδίου άρθρου “κ) Ψηφιακό μοντέλο: είναι το φυλασσόμενο στο ψηφιακό αποθετήριο του Ο.Δ.Α.Π. πρότυπο ψηφιακό προϊόν, κυριότητας του Ο.Δ.Α.Π. …”. Γιατί τότε αντικείμενα κυριότητας του ΟΔΑΠ να διατίθενται σε εξωτερικό ανάδοχο; (βλ. παρ. 4.ε του άρθρου 6 του σχεδίου νόμου όπου αναφέρεται ότι η εταιρεία: “διαχειρίζεται, προωθεί και διαθέτει μοντέλα για την παραγωγή ακριβών αντιγράφων και αντιγράφων με ίδια μέσα ή με προσφυγή σε εξωτερικό ανάδοχο, σύμφωνα με τον ν. 4412/2016”. </w:t>
      </w:r>
    </w:p>
    <w:p/>
    <w:p>
      <w:pPr/>
      <w:r>
        <w:rPr/>
        <w:t xml:space="preserve">-	Στο άρθρο 42, αναφορικά με την παρ. 6 του άρθρου 21, αναφέρεται  η “…υλοποίηση της διακίνησης και διάθεσης στα πωλητήρια του Ο.Δ.Α.Π. των ειδών παραγωγής τρίτων με το σύστημα της παρακαταθήκης”. Με τα πωλητήρια στην Α.Ε.., πώς θα λειτουργήσει ; </w:t>
      </w:r>
    </w:p>
    <w:p/>
    <w:p>
      <w:pPr/>
      <w:r>
        <w:rPr/>
        <w:t xml:space="preserve">-	Καταργείται με το άρθρο 51, μεταξύ άλλων , η δυνατότητα σύστασης Περιφερειακών Υπηρεσιών σε επίπεδο γραφείου που προβλεπόταν στην παρ. 21 του άρθρου 45.</w:t>
      </w:r>
    </w:p>
    <w:p/>
    <w:p>
      <w:pPr/>
      <w:r>
        <w:rPr>
          <w:b w:val="1"/>
          <w:bCs w:val="1"/>
        </w:rPr>
        <w:t xml:space="preserve">Γ****** Σ******** – 19 Ιουλίου 2026, 15:45</w:t>
      </w:r>
    </w:p>
    <w:p>
      <w:pPr/>
      <w:r>
        <w:rPr/>
        <w:t xml:space="preserve">Με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γίνεται άμεση ή έμμεση ιδιωτικοποίηση της διαχείρισης αρχαιοτήτων και μνημείων. </w:t>
      </w:r>
    </w:p>
    <w:p/>
    <w:p>
      <w:pPr/>
      <w:r>
        <w:rPr/>
        <w:t xml:space="preserve">Απαιτείται κατάργηση των ιδιωτικών επισκέψεων στα μνημεία. Κατάργηση του θεσμού των ιδιωτικών πριβέ γευμάτων σε αρχαιολογικούς χώρους, μουσεία και μνημεία υπό το πρόσχημα της προώθησης τοπικών προϊόντων. Επαναφορά των ταμείων και των εισιτηρίων των μεγάλων αρχαιολογικών χώρων στο προσωπικό της Αρχαιολογικής Υπηρεσίας και να σταματήσει συνεργασία με ιδιωτικές εταιρείες διαχείρισης και ασφάλειας. Ενίσχυση της έκδοσης επιστημονικών συγγραμμάτων και του Αρχαιολογικού Δελτίου από τον ΟΔΑΠ, ο οποίος πρέπει να επανέλθει στον ρόλο του ως φορέας προβολής του επιστημονικού έργου της Αρχαιολογικής Υπηρεσίας. Ψηφιακές εφαρμογές, οδηγοί και φυλλάδια με επιστημονική επιμέλεια του ΟΔΑΠ, σε συνεργασία με τις κατά τόπους Υπηρεσίες. Ενίσχυση του ΟΔΑΠ με μόνιμο προσωπικό ώστε να εκτελεί ο ίδιος ο οργανισμός τις λειτουργίες συντήρησης, υποστήριξης και προβολής. Για την αύξηση των εισιτηρίων απαιτείται επαναφορά του χειμερινού εισιτηρίου για όλους και της έκπτωσης 50% για τους άνω των 65. Η πολιτιστική κληρονομιά ανήκει και οφείλει να είναι προσιτή σε όλους/ες, χωρίς πρόσθετες «χρεώσεις» (πχ τουαλέτες, ιματιοθήκη).</w:t>
      </w:r>
    </w:p>
    <w:p/>
    <w:p>
      <w:pPr/>
      <w:r>
        <w:rPr/>
        <w:t xml:space="preserve">Να μην αποκοπεί η διαχείριση των ενάλιων αρχαιολογικών χώρων από την Εφορεία Εναλίων Αρχαιοτήτων, μέσω της ίδρυσης ΝΠΔΔ.</w:t>
      </w:r>
    </w:p>
    <w:p/>
    <w:p>
      <w:pPr/>
      <w:r>
        <w:rPr/>
        <w:t xml:space="preserve">Το πολυνομοσχέδιο του ΥΠΠΟ όχι απλώς επιχειρεί να εμπορευματοποιήσει πλήρως την πολιτιστική κληρονομιά, αναθέτοντας όλη την περιουσία του ΟΔΑΠ και του ΥΠΠΟ και την διαχείριση όλων των αρχαιολογικών χώρων, των μνημείων και των ιστορικών τόπων σε μια Ανώνυμη Εταιρεία, ουσιαστικά καταργώντας την Αρχαιολογική Υπηρεσία, αλλά προχωρά και στην πρωτοφανή αποκοπή  των επισκέψιμων ενάλιων αρχαιολογικών χώρων από την αρμόδια Εφορεία. Επιπλέον εισάγει διατάξεις που τροποποιούν τον Αρχαιολογικό Νόμο.</w:t>
      </w:r>
    </w:p>
    <w:p/>
    <w:p>
      <w:pPr/>
      <w:r>
        <w:rPr>
          <w:b w:val="1"/>
          <w:bCs w:val="1"/>
        </w:rPr>
        <w:t xml:space="preserve">ΣΥΛΛΟΓΟΣ ΥΠΑΛΛΗΛΩΝ ΤΟΥ ΟΡΓΑΝΙΣΜΟΥ ΔΙΑΧΕΙΡΙΣΗΣ &amp; ΑΝΑΠΤΥΞΗΣ ΠΟΛΙΤΙΣΤΙΚΩΝ ΠΟΡΩΝ – 19 Ιουλίου 2026, 16:00</w:t>
      </w:r>
    </w:p>
    <w:p>
      <w:pPr/>
      <w:r>
        <w:rPr/>
        <w:t xml:space="preserve">Γενική παρατήρηση:</w:t>
      </w:r>
    </w:p>
    <w:p/>
    <w:p/>
    <w:p>
      <w:pPr/>
      <w:r>
        <w:rPr/>
        <w:t xml:space="preserve">Ο σχεδιασμός της Ανώνυμης Εταιρείας δεν πρέπει να οδηγήσει σε περαιτέρω εντατικοποίηση των εργασιών στον υποστελεχωμένο ΟΔΑΠ. Οι διαδικασίες στελέχωσης του ΟΔΑΠ μέσω ΑΣΕΠ και ΥΠΕΣ οφείλουν να προχωρήσουν λαμβάνοντας υπόψη τις δυσκολίες πρόσληψης εξειδικευμένου προσωπικού εξαιτίας της μη ανταγωνιστικής αμοιβής στον Δημόσιο Τομέα. Επαναλαμβάνουμε τη θέση μας όπως στο Α΄ Μέρος ότι δεν πρέπει να χαθεί καμιά θέση εργασίας υπαλλήλου, καθώς και να μην μετακινηθεί ή διατεθεί στην Α.Ε. χωρίς τη συναίνεσή του, ούτε προσωρινά.</w:t>
      </w:r>
    </w:p>
    <w:p/>
    <w:p/>
    <w:p>
      <w:pPr/>
      <w:r>
        <w:rPr/>
        <w:t xml:space="preserve">Ειδικότερες παρατηρήσεις:</w:t>
      </w:r>
    </w:p>
    <w:p/>
    <w:p/>
    <w:p>
      <w:pPr/>
      <w:r>
        <w:rPr/>
        <w:t xml:space="preserve">Άρθρο 38:</w:t>
      </w:r>
    </w:p>
    <w:p/>
    <w:p/>
    <w:p>
      <w:pPr/>
      <w:r>
        <w:rPr/>
        <w:t xml:space="preserve">1. Προτιμάται η αμοιβή με βάση διαγωνισμό για την παροχή υπηρεσιών εξωτερικών παρόχων στον ΟΔΑΠ και όχι με βάση ποσοστό επί των συναλλαγών, λόγω είσπραξης εσόδων και καταβολής εξόδων με καθυστέρηση, ενώ γεννώνται ερωτήματα για το καθεστώς συμβασιοποίησης με υπό αίρεση αμοιβές.</w:t>
      </w:r>
    </w:p>
    <w:p/>
    <w:p>
      <w:pPr/>
      <w:r>
        <w:rPr/>
        <w:t xml:space="preserve">2. Να προστεθεί σύμφωνη γνώμη και του ΔΣ του ΟΔΑΠ στην πώληση ειδών τρίτων από τα πωλητήρια του ΟΔΑΠ. Στο Σχέδιο Νόμου αναφέρεται μόνο γνώμη της Α.Ε. και Υπουργική Απόφαση.</w:t>
      </w:r>
    </w:p>
    <w:p/>
    <w:p/>
    <w:p>
      <w:pPr/>
      <w:r>
        <w:rPr/>
        <w:t xml:space="preserve">Άρθρο 40:</w:t>
      </w:r>
    </w:p>
    <w:p/>
    <w:p/>
    <w:p>
      <w:pPr/>
      <w:r>
        <w:rPr/>
        <w:t xml:space="preserve">1. Προσθήκη στην αναθεώρηση του Άρθρου 16 του Ν. 4761/2020 "β) την κάλυψη της δαπάνης αποζημίωσης, κατ’ εφαρμογή του άρθρου 20 του ν. 4354/2015 (Α΄ 176), περί αποζημίωσης για εργασία καθ’ υπέρβαση ή προς συμπλήρωση του υποχρεωτικού ωραρίου, των υπαλλήλων του ΟΔΑΠ που απασχολούνται για εργασία πέραν του πενθημέρου ή καθ’ υπέρβαση του υποχρεωτικού ωραρίου, καθώς και για εργασία κατά τις νυχτερινές ώρες ή κατά τις Κυριακές και εξαιρέσιμες ημέρες, όπως προβλέπεται/ορίζεται"</w:t>
      </w:r>
    </w:p>
    <w:p/>
    <w:p>
      <w:pPr/>
      <w:r>
        <w:rPr/>
        <w:t xml:space="preserve">2. Ορίζεται να προχωρά σε δαπάνες ο ΟΔΑΠ για ρυμοτομικές απαλλοτριώσεις. Στις έως τώρα περιπτώσεις ρυμοτομικών απαλλοτριώσεων το ΝΣΚ έχει γνωμοδοτήσει ότι ο ΟΔΑΠ δεν έχει υποχρέωση πληρωμής δαπάνης τέτοιου χαρακτήρα.</w:t>
      </w:r>
    </w:p>
    <w:p/>
    <w:p>
      <w:pPr/>
      <w:r>
        <w:rPr/>
        <w:t xml:space="preserve">3. Προτείνεται η εξίσωση του διαχειριστικού επιδόματος των υπαλλήλων ΟΔΑΠ και Υπουργείου Πολιτισμού με αυτό των διαχειριστών που θα οριστούν από την εταιρεία.</w:t>
      </w:r>
    </w:p>
    <w:p/>
    <w:p/>
    <w:p>
      <w:pPr/>
      <w:r>
        <w:rPr/>
        <w:t xml:space="preserve">Άρθρα 42, 44-45:</w:t>
      </w:r>
    </w:p>
    <w:p/>
    <w:p/>
    <w:p>
      <w:pPr/>
      <w:r>
        <w:rPr/>
        <w:t xml:space="preserve">Ορίζονται ως αντικείμενα τμημάτων η παρακολούθηση αντίστοιχα των επιμέρους αρμοδιοτήτων της Ανώνυμης Εταιρείας. Είναι αναγκαίο να υπάρχει σαφής οριοθέτηση - διαχωρισμός μεταξύ των αρμοδιοτήτων του ΟΔΑΠ και της υπό σύσταση εταιρίας.</w:t>
      </w:r>
    </w:p>
    <w:p/>
    <w:p/>
    <w:p>
      <w:pPr/>
      <w:r>
        <w:rPr/>
        <w:t xml:space="preserve">Άρθρο 45:</w:t>
      </w:r>
    </w:p>
    <w:p/>
    <w:p/>
    <w:p>
      <w:pPr/>
      <w:r>
        <w:rPr/>
        <w:t xml:space="preserve">Να προστεθεί «σε συνεργασία με την Διεύθυνση Διαχείρισης Οικονομικών Πόρων του ΟΔΑΠ», σε όλες τις παραγράφους α-ε που αφορούν την διαχείριση εσόδων από το Αυτοτελές Τμήμα Παρακολούθησης και Ανάπτυξης Πόρων, η οποία έχει την κατεξοχήν τεχνογνωσία διαχείρισης εσόδων στον Οργανισμό.</w:t>
      </w:r>
    </w:p>
    <w:p/>
    <w:p/>
    <w:p>
      <w:pPr/>
      <w:r>
        <w:rPr/>
        <w:t xml:space="preserve">Άρθρα 48-50:</w:t>
      </w:r>
    </w:p>
    <w:p/>
    <w:p/>
    <w:p>
      <w:pPr/>
      <w:r>
        <w:rPr/>
        <w:t xml:space="preserve">1. Καταργούνται συνολικά 66 κενές οργανικές θέσεις του οργανισμού, επιλογή από αφορά μείωση 22% επί του συνόλου των οργανικών θέσεων.</w:t>
      </w:r>
    </w:p>
    <w:p/>
    <w:p>
      <w:pPr/>
      <w:r>
        <w:rPr/>
        <w:t xml:space="preserve">2. Στην Διεύθυνση Μελετών, Έργων, Αποτυπώσεων και Αξιοποίησης Ακίνητης Περιουσίας του ΟΔΑΠ οι θέσεις των Μηχανικών μειώνονται σε 31 από 36 (-14%). </w:t>
      </w:r>
    </w:p>
    <w:p/>
    <w:p>
      <w:pPr/>
      <w:r>
        <w:rPr/>
        <w:t xml:space="preserve">3. Χρειάζεται να προστεθούν στον ΟΔΑΠ δύο θέσεις ΙΔΑΧ Κλάδου ΠΕ Αρχαιολόγων, Ειδικότητας Πολιτιστικής Διαχείρισης</w:t>
      </w:r>
    </w:p>
    <w:p/>
    <w:p>
      <w:pPr/>
      <w:r>
        <w:rPr>
          <w:b w:val="1"/>
          <w:bCs w:val="1"/>
        </w:rPr>
        <w:t xml:space="preserve">ΓΕΩΡΓΙΑ ΓΕΩΡΓΙΟΥ – 19 Ιουλίου 2026, 16:08</w:t>
      </w:r>
    </w:p>
    <w:p>
      <w:pPr/>
      <w:r>
        <w:rPr/>
        <w:t xml:space="preserve">ΕΝΩΣΗ ΕΜΜΙΣΘΩΝ ΔΙΚΗΓΟΡΩΝ δια της Προέδρου Γεωργίας Γεωργίου</w:t>
      </w:r>
    </w:p>
    <w:p/>
    <w:p>
      <w:pPr/>
      <w:r>
        <w:rPr/>
        <w:t xml:space="preserve">Το σχόλιο αφορά στο άρθρο 47 του σχεδίου νόμου:</w:t>
      </w:r>
    </w:p>
    <w:p/>
    <w:p>
      <w:pPr/>
      <w:r>
        <w:rPr/>
        <w:t xml:space="preserve">Η επιλογή της οργανικής και μισθολογικής υποβάθμισης της νομικής υπηρεσίας από Τμήμα</w:t>
      </w:r>
    </w:p>
    <w:p/>
    <w:p>
      <w:pPr/>
      <w:r>
        <w:rPr/>
        <w:t xml:space="preserve">σε Γραφείο, η επιλογή του Προϊσταμένου της από τον Πρόεδρο και όχι από το ανώτατο</w:t>
      </w:r>
    </w:p>
    <w:p/>
    <w:p>
      <w:pPr/>
      <w:r>
        <w:rPr/>
        <w:t xml:space="preserve">συλλογικό όργανο, δηλαδή το Διοικητικό Συμβούλιο και η ρητή πρόβλεψη και υπόδειξη του</w:t>
      </w:r>
    </w:p>
    <w:p/>
    <w:p>
      <w:pPr/>
      <w:r>
        <w:rPr/>
        <w:t xml:space="preserve">τρόπου που o Προϊστάμενός του θα συνεργάζεται με όλο το στελεχιακό δυναμικό της</w:t>
      </w:r>
    </w:p>
    <w:p/>
    <w:p>
      <w:pPr/>
      <w:r>
        <w:rPr/>
        <w:t xml:space="preserve">Διεύθυνσης Νομικών Υπηρεσιών της Α.Ε. (κυρίως με τις αναφορές στην ΑΣΥΡ), σε αντίθεση</w:t>
      </w:r>
    </w:p>
    <w:p/>
    <w:p>
      <w:pPr/>
      <w:r>
        <w:rPr/>
        <w:t xml:space="preserve">με όλες τις άλλες υπηρεσιακές μονάδες του Ο.Δ.Α.Π. που δεν θίγονται ή μετασχηματίζονται</w:t>
      </w:r>
    </w:p>
    <w:p/>
    <w:p>
      <w:pPr/>
      <w:r>
        <w:rPr/>
        <w:t xml:space="preserve">οργανικά, ούτε προβλέπεται για αυτές συγκεκριμένος τρόπος συνεργασίας τους με την Α.Ε.,</w:t>
      </w:r>
    </w:p>
    <w:p/>
    <w:p>
      <w:pPr/>
      <w:r>
        <w:rPr/>
        <w:t xml:space="preserve">θα μπορούσε να εκληφθεί ως αποδυνάμωσή της νομικής υπηρεσίας του Ο.Δ.Α.Π. έναντι της</w:t>
      </w:r>
    </w:p>
    <w:p/>
    <w:p>
      <w:pPr/>
      <w:r>
        <w:rPr/>
        <w:t xml:space="preserve">αντίστοιχης υπηρεσίας της υπό σύσταση Α.Ε., ενώ συνήθως αντίστοιχες υποχρεώσεις</w:t>
      </w:r>
    </w:p>
    <w:p/>
    <w:p>
      <w:pPr/>
      <w:r>
        <w:rPr/>
        <w:t xml:space="preserve">επιφυλάσσονται σε όργανα ή υπηρεσίες της θυγατρικής εταιρείας έναντι της μητρικής.</w:t>
      </w:r>
    </w:p>
    <w:p/>
    <w:p>
      <w:pPr/>
      <w:r>
        <w:rPr/>
        <w:t xml:space="preserve">Με τη διατύπωση του άρθρου, ιδίως αν ερμηνευτεί συνδυαστικά με την ατυχή διατύπωση της</w:t>
      </w:r>
    </w:p>
    <w:p/>
    <w:p>
      <w:pPr/>
      <w:r>
        <w:rPr/>
        <w:t xml:space="preserve">ΑΣΥΡ, επιχειρείται να επιβληθεί μονομερώς η καλή συνεργασία, δηλαδή ένας καθαρά</w:t>
      </w:r>
    </w:p>
    <w:p/>
    <w:p>
      <w:pPr/>
      <w:r>
        <w:rPr/>
        <w:t xml:space="preserve">υποκειμενικός και ασαφής όρος, ειδικά στη νομική υπηρεσία του Ο.Δ.Α.Π. (ενώ για καμία</w:t>
      </w:r>
    </w:p>
    <w:p/>
    <w:p>
      <w:pPr/>
      <w:r>
        <w:rPr/>
        <w:t xml:space="preserve">άλλη υπηρεσία, και των δύο φορέων συμπεριλαμβανομένης της Διεύθυνσης Νομικών</w:t>
      </w:r>
    </w:p>
    <w:p/>
    <w:p>
      <w:pPr/>
      <w:r>
        <w:rPr/>
        <w:t xml:space="preserve">Υπηρεσιών της Α.Ε. δεν προβλέπεται αντίστοιχη υποχρέωση) και δη στον Προϊστάμενό της</w:t>
      </w:r>
    </w:p>
    <w:p/>
    <w:p>
      <w:pPr/>
      <w:r>
        <w:rPr/>
        <w:t xml:space="preserve">(αν και οι αρμοδιότητες απονέμονται σε υπηρεσίες και όχι σε πρόσωπα), με τρόπο που θα</w:t>
      </w:r>
    </w:p>
    <w:p/>
    <w:p>
      <w:pPr/>
      <w:r>
        <w:rPr/>
        <w:t xml:space="preserve">μπορούσε να ερμηνευτεί ότι θίγει την προστατευμένη από διεθνείς συμβάσεις ανεξαρτησία</w:t>
      </w:r>
    </w:p>
    <w:p/>
    <w:p>
      <w:pPr/>
      <w:r>
        <w:rPr/>
        <w:t xml:space="preserve">του δικηγόρου.</w:t>
      </w:r>
    </w:p>
    <w:p/>
    <w:p>
      <w:pPr/>
      <w:r>
        <w:rPr/>
        <w:t xml:space="preserve">Για τους λόγους αυτούς, το συγκεκριμένο άρθρο και ιδίως η ΑΣΥΡ χρήζουν τροποποίησης,</w:t>
      </w:r>
    </w:p>
    <w:p/>
    <w:p>
      <w:pPr/>
      <w:r>
        <w:rPr/>
        <w:t xml:space="preserve">καθώς με τη συγκεκριμένη διατύπωση, περισσότερο δυσχεραίνουν, παρά διευκολύνουν το</w:t>
      </w:r>
    </w:p>
    <w:p/>
    <w:p>
      <w:pPr/>
      <w:r>
        <w:rPr/>
        <w:t xml:space="preserve">σκοπό του νόμου και τη συνεργασία των δύο φορέων.</w:t>
      </w:r>
    </w:p>
    <w:p/>
    <w:p>
      <w:pPr/>
      <w:r>
        <w:rPr/>
        <w:t xml:space="preserve">Ζητούμε να κληθεί η Ένωση Εμμίσθων Δικηγόρων και ο Δικηγορικός Σύλλογος Αθηνών κατά</w:t>
      </w:r>
    </w:p>
    <w:p/>
    <w:p>
      <w:pPr/>
      <w:r>
        <w:rPr/>
        <w:t xml:space="preserve">τη συζήτηση του νομοσχεδίου ενώπιον της αρμόδιας Επιτροπής της Βουλής.</w:t>
      </w:r>
    </w:p>
    <w:p/>
    <w:p>
      <w:pPr/>
      <w:r>
        <w:rPr>
          <w:b w:val="1"/>
          <w:bCs w:val="1"/>
        </w:rPr>
        <w:t xml:space="preserve">ΝΙΚΟΛΑΟΣ ΓΚΙΩΝΗΣ – 19 Ιουλίου 2026, 16:25</w:t>
      </w:r>
    </w:p>
    <w:p>
      <w:pPr/>
      <w:r>
        <w:rPr/>
        <w:t xml:space="preserve">Για τη νομική προστασία των εργαζομένων στον ΟΔΑΠ είναι αναγκαίο να ξεκαθαρίσει τί σημαίνει παρακολούθηση του έργου της Ανώνυμης Εταιρείας, ποιο είναι το αντικείμενο της παρακολούθησης. Ταυτόχρονα, οφείλουν να οριστούν δείκτες KPI για την παροχή ενδεχόμενης γνώμης προς βελτίωση ενός στόχο ή την εγκατάλειψή του. Εφόσον ο ΟΔΑΠ παρακολουθεί την ΑΕ, δύναται να την αξιολογήσει; Και με ποιον τρόπο θα επιβάλλει κυρώσεις ή θα επιβραβεύσει;</w:t>
      </w:r>
    </w:p>
    <w:p/>
    <w:p>
      <w:pPr/>
      <w:r>
        <w:rPr>
          <w:b w:val="1"/>
          <w:bCs w:val="1"/>
        </w:rPr>
        <w:t xml:space="preserve">Σύλλογος Ελλήνων Αρχαιολόγων – 19 Ιουλίου 2026, 19:32</w:t>
      </w:r>
    </w:p>
    <w:p>
      <w:pPr/>
      <w:r>
        <w:rPr/>
        <w:t xml:space="preserve">Στο Β' Μέρος του σχεδίου νόμου περιγράφεται αναλυτικά η συρρίκνωση του ΝΠΔΔ ΟΔΑΠ από αρμοδιότητες και προσωπικό, προς όφελος της ΑΕ. Οι λειτουργίες που αφορούν τους πολίτες (όπως οι απαλλοτριώσεις), την προστασία της πολιτιστικής κληρονομιάς, την δημόσια περιουσία του ελληνικού λαού, τις εκδόσεις και την έρευνα συρρικώνονται και δεν θα χρηματοδοτούνται πλέον, καθώς τα κονδύλια θα κατευθύνονται στην ΑΕ. Ο Σύλλογος Ελλήνων Αρχαιολόγων θεωρεί μείζον ζήτημα την πρόθεση αυτή, όπως και συνολικά την μετατροπή του ΟΔΑΠ σε όχημα ιδιωτικοποίησης των μνημείων και κατασπατάλησης των εσόδων από τους αρχαιολογικούς χώρους και τα μουσεία της χώρας σε αλλότριους σκοπούς. Η ανάθεση όλων σχεδόν των λειτουργιών του ΟΔΑΠ που αφορούν στην διαχείριση αρχαιολογικών χώρων και μουσείων, που δημιουργήθηκαν με χρήματα του ελληνικού λαού (εθνικούς ή κοινοτικούς πόρους) και τον κόπο των εργαζομένων στην Αρχαιολογική Υπηρεσία, συνιστά πλήρη ιδιωτικοποίησή τους, την υποταγή τους στο πρόσκαιρο κέρδος. Ο πολιτιστικός, κοινωνικός, εκπαιδευτικός, συμπεριληπτικός ρόλος της πολιτιστικής κληρονομιάς, που μάλιστα ορίζεται από τον Αρχαιολογικό Νόμο, παραγκωνίζεται πλήρως και τη θέση τους παίρνουν τα γεύματα, οι δεξιώσεις, η ιδιωτική χρήση και το κέρδος των ολίγων. Η κατεύθυνση του σχεδίου νόμου είναι να γίνει στα μνημεία, τα δημόσια μουσεία και τους αρχαιολογικούς χώρους ό,τι έχει συμβεί και με τα νησιά μας: να γίνουν απλησίαστα και αφιλόξενα για τους έλληνες πολίτες, παραδομένα στο κέρδος, κόντρα σε κάθε λογική αειφορίας.</w:t>
      </w:r>
    </w:p>
    <w:p/>
    <w:p>
      <w:pPr/>
      <w:r>
        <w:rPr>
          <w:b w:val="1"/>
          <w:bCs w:val="1"/>
        </w:rPr>
        <w:t xml:space="preserve">ΣΤΑΥΡΟΥΛΑ ΚΛΩΝΙΖΑΚΗ – 20 Ιουλίου 2026, 01:34</w:t>
      </w:r>
    </w:p>
    <w:p>
      <w:pPr/>
      <w:r>
        <w:rPr/>
        <w:t xml:space="preserve">Σχόλιο επί των άρθρων 48, 49 και 50:</w:t>
      </w:r>
    </w:p>
    <w:p/>
    <w:p>
      <w:pPr/>
      <w:r>
        <w:rPr/>
        <w:t xml:space="preserve">Στον ν.4761/2020, προβλέπονταν 5 οργανικές θέσεις μηχανικών ΠΕ, με ειδικότητα αγρονόμου τοπογράφου μηχανικού και το 2025 αυξήθηκαν σε 6 με βάση την απόφαση ΡΜΦΕ46ΜΖΜ4-8Ο0.  Με το προτεινόμενο νομοσχέδιο προτείνεται, μεταξύ άλλων,  η κατάργηση των 2 οργανικών θέσεων  μηχανικών ΠΕ, με ειδικότητα αγρονόμου τοπογράφου μηχανικού , χωρίς καμία αιτιολόγηση ή διαβούλευση με το προσωπικό της τεχνικής υπηρεσίας . Είναι δε απορίας άξιο πως προτάθηκε η κατάργηση των θέσεων αυτών, ενώ ήδη η μία είναι ήδη δεσμευμένη  και πρόκειται να καλυφθεί με την προκήρυξη 2ΓΒ/2026 και ενώ συμμετέχει ο ΟΔΑΠ στην κινητικότητα του 2026 για 2 θέσεις μηχανικών της αυτής ειδικότητας, με απόσπαση . Η υποστελέχωση του Τμήματος είναι εμφανής (εργάζονται 3 αγρονόμοι τοπογράφοι μηχανικοί ΠΕ και 1 τοπογράφος ΤΕ), έχει δε αποτυπωθεί σε έγγραφα και στις πράξεις της διοίκησης. </w:t>
      </w:r>
    </w:p>
    <w:p/>
    <w:p>
      <w:pPr/>
      <w:r>
        <w:rPr/>
        <w:t xml:space="preserve">Οι δύο  οργανικές θέσεις  μηχανικών ΠΕ, με ειδικότητα αγρονόμου τοπογράφου μηχανικού , που προτείνεται να καταργηθούν,  με βάση το ψηφιακό οργανόγραμμα αφορούν στο Τμήμα Αποτυπώσεων, Κτηματολογίου και Γεωχωρικών Δεδομένων  το οποίο έχει ως κύριο αντικείμενο τις κτηματογραφήσεις για απαλλοτριώσεις ακινήτων για αρχαιολογικούς σκοπούς σε όλη την Ελληνική Επικράτεια.  </w:t>
      </w:r>
    </w:p>
    <w:p/>
    <w:p>
      <w:pPr/>
      <w:r>
        <w:rPr/>
        <w:t xml:space="preserve">Σημειώνεται επίσης ότι καταργείται και μία θέτη ΤΕ αορίστου χρόνου, η οποία ,αν και στον ν.4761/2020 δεν προσδιορίζεται η ειδικότητα όπως σε όλες τις θέσεις αορίστου χρόνου,  στο ψηφιακό οργανόγραμμα αναφερόταν με την ειδικότητα του τοπογράφου. Δεδομένου ότι τα ΤΕΙ έχουν καταργηθεί ,αλλά και από το γεγονός ότι το Τμήμα Αποτυπώσεων, Κτηματολογίου και Γεωχωρικών Δεδομένων  είναι διευθύνουσα υπηρεσία για αναθέσεις μελετών κτηματογράφησης οπότε θα ήταν προτιμότερο η θέση να μετατραπεί σε ΠΕ, καθώς δικαίωμα επίβλεψης για μελέτες σύμφωνα με το άρθρο 183 του ν.4412/16 έχουν μόνο ΠΕ.</w:t>
      </w:r>
    </w:p>
    <w:p/>
    <w:p>
      <w:pPr/>
      <w:r>
        <w:rPr/>
        <w:t xml:space="preserve"> Σε κάθε περίπτωση είναι εμφανώς παράλογο να καταργούνται θέσεις από το  Τμήμα της τεχνικής υπηρεσίας του ΟΔΑΠ του οποίου το αντικείμενο δεν έχει μεταβληθεί και από το οποίο δεν έχουν εκχωρηθεί αρμοδιότητες στην ανώνυμη εταιρεία. Επιπλέον το αντικείμενο του Τμήματος είναι εξειδικευμένο, απαιτείται η στελέχωση με μηχανικούς με ειδικότητα αγρονόμου τοπογράφου ΠΕ, που έχουν εξιδείκευση σε θέματα όχι μόνο αποτυπώσεων, αλλά κτηματολογίου και διαχείρισης γεωχωρικών δεδομένων.</w:t>
      </w:r>
    </w:p>
    <w:p/>
    <w:p>
      <w:pPr/>
      <w:r>
        <w:rPr>
          <w:b w:val="1"/>
          <w:bCs w:val="1"/>
        </w:rPr>
        <w:t xml:space="preserve">Α. Πλιάκος – 20 Ιουλίου 2026, 02:51</w:t>
      </w:r>
    </w:p>
    <w:p>
      <w:pPr/>
      <w:r>
        <w:rPr/>
        <w:t xml:space="preserve">Σχόλιο για το νομοσχέδιο συνολικά.</w:t>
      </w:r>
    </w:p>
    <w:p/>
    <w:p>
      <w:pPr/>
      <w:r>
        <w:rPr/>
        <w:t xml:space="preserve">Δεν υπάρχει καμία αναγκαιότητα ίδρυσης ΑΕ που να αντικαθιστά αρμοδιότητες του ΟΔΑΠ. Όπως αναφέρεται και στην αιτιολογική έκθεση του νομοσχεδίου, κατά τα πέντε και πλέον έτη εφαρμογής του ν. 4761/2020 οι στόχοι επιτεύχθηκαν σε πολύ ικανοποιητικό βαθμό. Οι οργανικές θέσεις στον αυτά τα χρόνια ήταν πολύ κάτω από τις 300 οργανικές θέσεις που προβλεπόταν, περίπου 50%, ενώ εάν διατίθενται ακόμη και οι 234 θέσεις που προβλέπονται με τις προτεινόμενες τροποποιήσεις το έργο του ΟΔΑΠ θα προσέγγιζε την εκπλήρωσή τους, πόσο μάλλον με τις 90 επιπλέον θέσεις που  θα προσλαμβάνονταν στην εταιρεία. Συνεπώς με την κατάλληλη ενίσχυση σε εξειδικευμένο προσωπικό ο ΟΔΑΠ με το ισχύον καθεστώς του (ΝΠΔΔ) θα ανταποκρίνονταν στις απαιτήσεις λειτουργίας ενός σύγχρονου και αποδοτικού οργανισμού, ενώ ταυτόχρονα θα αποτελούσε εγγύηση για την προστασία και ανάδειξη της πολιτιστικής κληρονομιάς.</w:t>
      </w:r>
    </w:p>
    <w:p/>
    <w:p>
      <w:pPr/>
      <w:r>
        <w:rPr/>
        <w:t xml:space="preserve">Σε κάθε περίπτωση και με βάση τα ανωτέρω, το άρθρο 48 του νομοσχεδίου με το οποίο το σύνολο των οργανικών θέσεων του Ο.Δ.Α.Π. τροποιπείται σε διακόσιες τριάντα τέσσερις (234) πρέπει να καταργηθεί και οι θέσεις να παραμείνουν τριακόσιες (300).</w:t>
      </w:r>
    </w:p>
    <w:p/>
    <w:p/>
    <w:p>
      <w:pPr/>
      <w:r>
        <w:rPr/>
        <w:t xml:space="preserve">Σχόλια για το άρθρο 49.</w:t>
      </w:r>
    </w:p>
    <w:p/>
    <w:p>
      <w:pPr/>
      <w:r>
        <w:rPr/>
        <w:t xml:space="preserve">Οι θέσεις των μηχανικών ΠΕ ειδικότητας Αγρονόμου - Τοπογράφου στη Δ/νση Μελετών, Εργων, Αποτυπώσεων και Αξιοποίησης Ακίνητης Περιουσίας πρέπει να παραμείνουν όσες προβλέπονται στο ισχύον καθεστώς, καθώς οι αρμοδιότητες του Τμήματος Αποτυπώσεων, Κτηματολογίου και Γεωχωρικών Δεδομένων για το οποίο προβλέφθηκαν εξαρχής οι θέσεις αυτές, παραμένουν στο ακέραιο, συνεπώς υποβαθμίζονται οι δυνατότητες ανταπόκρισης του Τμήματος στους σκοπούς του οργανισμού και του Υπ. Πολιτισμού γενικότερα.</w:t>
      </w:r>
    </w:p>
    <w:p/>
    <w:p>
      <w:pPr/>
      <w:r>
        <w:rPr/>
        <w:t xml:space="preserve">Ειδικότερα, στο Τμήμα αυτό, μεταξύ άλλων, καταργούνται οι δύο (2) κενές οργανικές θέσεις μονίμων υπαλλήλων ΠΕ Μηχανικών με ειδικότητα Αγρονόμου Τοπογράφου Μηχανικού (εκ των οποίων η μία είναι ήδη δεσμευμένη να καλυφθεί με την προκήρυξη 2ΓΒ/2026) το οποίο είναι καταφανώς λανθασμένο και αδικαιολόγητο με βάση τις ανάγκες της Υπηρεσίας.</w:t>
      </w:r>
    </w:p>
    <w:p/>
    <w:p>
      <w:pPr/>
      <w:r>
        <w:rPr/>
        <w:t xml:space="preserve">Στο εν λόγω νομοσχέδιο αναφέρονται μόνο τέσσερις (4) θέσεις της ειδικότητας αυτής οι οποίες είναι ήδη καλυμμένες. Συγκεκριμένα οι τρεις (3) αφορούν το Τμήμα Αποτυπώσεων, Κτηματολογίου και Γεωχωρικών Δεδομένων και η μία (1) το Τμήμα Αξιοποίησης Ακίνητης Περιουσίας. Ας σημειωθεί το γεγονός ότι η αύξηση των θέσεων από πέντε (5) σε έξι (6) έγινε με πρόσφατη πράξη της διοίκησης (ΟΔΑΠ/ΓΔ/ΔΕΟΛ/7965/8-4-2025, ΑΔΑ ΡΜΦΕ46ΜΖΜ4-8O0).</w:t>
      </w:r>
    </w:p>
    <w:p/>
    <w:p>
      <w:pPr/>
      <w:r>
        <w:rPr/>
        <w:t xml:space="preserve">Το θέμα της ανάγκης στελέχωσης του Τμήματος Αποτυπώσεων, Κτηματολογίου και Γεωχωρικών Δεδομένων με ΠΕ Μηχανικούς, με ειδικότητα Αγρονόμου Τοπογράφου Μηχανικού, έχει επισημανθεί πολλές φορές με υπηρεσιακά σημειώματα της Προϊσταμένης του Τμήματος και του Προϊσταμένου της Δ/νσης και έχουν γίνει αποδεκτά από τη διοίκηση με ενέργειες όπως με τη συμμετοχή στην κινητικότητα (2 θέσεις αγρονόμου τοπογράφου μηχανικού με απόσπαση), την προκήρυξη για κάλυψη μονίμου υπαλλήλου μηχανικού της αυτής ειδικότητας και το αίτημα κάλυψης 2 θέσεων ΣΟΧ αγρονόμων τοπογράφων μηχανικών.</w:t>
      </w:r>
    </w:p>
    <w:p/>
    <w:p>
      <w:pPr/>
      <w:r>
        <w:rPr/>
        <w:t xml:space="preserve">Βάσει του νομοσχεδίου, έχουν περιοριστεί οι αρμοδιότητες του ΟΔΑΠ σε αντίθεση όμως με αυτές του Τμήματος Αποτυπώσεων, Κτηματολογίου και Γεωχωρικών Δεδομένων. Συγκεκριμένα το Τμήμα αυτό σύμφωνα με τον νόμο 4761/2020 (άρθρο 27, παρ. 4) «…είναι αρμόδιο για τη διενέργεια διαδικασιών κτηματογράφησης, τοπογραφικών εργασιών και μελετών και την τοπογραφική αποτύπωση αρχαιολογικών χώρων, μνημείων, καθώς και των ακινήτων ιδιοκτησίας Ο.Δ.Α.Π., την εκπόνηση και έλεγχο κτηματολογικών μελετών, κτηματολογικών διαγραμμάτων και πινάκων απαλλοτρίωσης των προς απαλλοτρίωση ακινήτων, καθώς και για την ανάπτυξη, τήρηση, διαχείριση και επεξεργασία των σχετικών γεωχωρικών δεδομένων. Λειτουργεί ως Διευθύνουσα Υπηρεσία στη φάση της εκτέλεσης σύμβασης ανάθεσης για την εκπόνηση τοπογραφικών μελετών ή για την παροχή λοιπών συναφών επιστημονικών υπηρεσιών». </w:t>
      </w:r>
    </w:p>
    <w:p/>
    <w:p>
      <w:pPr/>
      <w:r>
        <w:rPr/>
        <w:t xml:space="preserve">Οι ανωτέρω αρμοδιότητες παραμένουν στο ακέραιο βάσει του υποβληθέντος νομοσχεδίου, ενώ με βάση την προσθήκη στην παράγραφο δ του άρθρο 16 «….και αποζημιώσεων για ρυμοτομικές απαλλοτριώσεις ακινήτων προς ωφέλεια του Υπουργείου Πολιτισμού, ….» διαφαίνεται ότι θα αυξηθεί το αντικείμενο του Τμήματος έστω σε επίπεδο τεχνικής συνδρομής.</w:t>
      </w:r>
    </w:p>
    <w:p/>
    <w:p>
      <w:pPr/>
      <w:r>
        <w:rPr/>
        <w:t xml:space="preserve">Επισημαίνεται τέλος ότι υπάρχει αυξανόμενη ροή των υποθέσεων, τόσο των κτηματογραφήσεων όσο και ειδικών τεχνικών θεμάτων που προκύπτουν με το Κτηματολόγιο και αφορούν σε όλη την ελληνική επικράτεια.</w:t>
      </w:r>
    </w:p>
    <w:p/>
    <w:p>
      <w:pPr/>
      <w:r>
        <w:rPr/>
        <w:t xml:space="preserve">Με βάση τα ανωτέρω αποδεικνύεται η εσφαλμένη κατάργηση των θέσεων των μονίμων υπαλλήλων ΠΕ Μηχανικών με ειδικότητα Αγρονόμου Τοπογράφου Μηχανικού, οι οποίες με βάση τα πάγια αιτήματα των εργαζομένων στο Τμήμα θα έπρεπε να αυξηθούν και όχι να μειωθούν.</w:t>
      </w:r>
    </w:p>
    <w:p/>
    <w:p>
      <w:pPr/>
      <w:r>
        <w:rPr>
          <w:b w:val="1"/>
          <w:bCs w:val="1"/>
        </w:rPr>
        <w:t xml:space="preserve">Α. Παππάς – 20 Ιουλίου 2026, 03:21</w:t>
      </w:r>
    </w:p>
    <w:p>
      <w:pPr/>
      <w:r>
        <w:rPr/>
        <w:t xml:space="preserve">Μέρος Β</w:t>
      </w:r>
    </w:p>
    <w:p/>
    <w:p>
      <w:pPr/>
      <w:r>
        <w:rPr/>
        <w:t xml:space="preserve">Άρθρο 29 : Προτείνεται να συμπεριληφθεί στους σκοπούς του ΟΔΑΠ και η επιδότηση των υπαλλήλων του ΟΔΑΠ με παιδιά που δικαιούνται να φιλοξενηθούν σε κατασκηνώσεις, day camps κλπ</w:t>
      </w:r>
    </w:p>
    <w:p/>
    <w:p>
      <w:pPr/>
      <w:r>
        <w:rPr/>
        <w:t xml:space="preserve">Άρθρο 30 : Προτείνεται η κατάργηση του εδαφίου η), λόγω εντατικοποίησης των υποχρεώσεων του ΟΔΑΠ που απαιτεί  ενισχυμένο προσωπικό όλων των ειδικοτήτων, δηλαδή προτείνεται η μη κατάργηση καμιάς κενής οργανικής θέσης.</w:t>
      </w:r>
    </w:p>
    <w:p/>
    <w:p>
      <w:pPr/>
      <w:r>
        <w:rPr/>
        <w:t xml:space="preserve">Άρθρο 32 :  Η παραγωγή και διάθεση ακριβών αντιγράφων στα εργαστήρια του ΟΔΑΠ  γίνεται αποκλειστικά διαζευκτικά με ίδια μέσα ή με εξωτερικό ανάδοχο ή από την ανώνυμη Εταιρεία ;</w:t>
      </w:r>
    </w:p>
    <w:p/>
    <w:p>
      <w:pPr/>
      <w:r>
        <w:rPr/>
        <w:t xml:space="preserve">Άρθρο 41 : Προτείνεται η διατήρηση του Τμήματος Νομικής Υποστήριξης του ΟΔΑΠ, λόγω αυξημένου αριθμού Νομικών Υποθέσεων και όχι η μετατροπή του σε Γραφείο..</w:t>
      </w:r>
    </w:p>
    <w:p/>
    <w:p>
      <w:pPr/>
      <w:r>
        <w:rPr/>
        <w:t xml:space="preserve">Άρθρα 42, 44 και 45 : Αποσαφήνιση του όρου «παρακολούθηση» στα άρθρα αυτά, ώστε να γίνει κατανοητό το αντικείμενό τους.</w:t>
      </w:r>
    </w:p>
    <w:p/>
    <w:p>
      <w:pPr/>
      <w:r>
        <w:rPr/>
        <w:t xml:space="preserve">Άρθρο 43 : Ποιες Ψηφιακές εκδόσεις και εφαρμογές μένουν στον ΟΔΑΠ ;</w:t>
      </w:r>
    </w:p>
    <w:p/>
    <w:p>
      <w:pPr/>
      <w:r>
        <w:rPr/>
        <w:t xml:space="preserve">Άρθρο 49 : Προβλέπεται η κατάργηση δεσμευμένων οργανικών θέσεων ;</w:t>
      </w:r>
    </w:p>
    <w:p/>
    <w:p>
      <w:pPr/>
      <w:r>
        <w:rPr/>
        <w:t xml:space="preserve">Άρθρο 49,  50 : Ποιος είναι ο γνώμονας κατάργησης κενών οργανικών θέσεων ; Η κατανομή των ειδικοτήτων ανά κλάδο στις Διευθύνσεις και τα τμήματα είναι η υφιστάμενη στον ΟΔΑΠ ; Πρόβλεψη νέων ειδικοτήτων ( Χημικός Μηχανικός  και Μηχανικός Παραγωγής στα Εργαστήρια, χειριστής drone κλπ)</w:t>
      </w:r>
    </w:p>
    <w:p/>
    <w:p>
      <w:pPr/>
      <w:r>
        <w:rPr/>
        <w:t xml:space="preserve">Πρόβλεψη για ουδεμία μείωση αποδοχών από οποιαδήποτε αιτία σε κανένα υπάλληλο του ΟΔΑΠ (επίδομα διαχειριστή  κλπ)</w:t>
      </w:r>
    </w:p>
    <w:p/>
    <w:p>
      <w:pPr/>
      <w:r>
        <w:rPr>
          <w:b w:val="1"/>
          <w:bCs w:val="1"/>
        </w:rPr>
        <w:t xml:space="preserve">ΕΝΩΣΗ ΠΑΡΑΓΩΓΩΝ ΟΠΤΙΚΟΑΚΟΥΣΤΙΚΩΝ ΕΡΓΩΝ - PACT – 20 Ιουλίου 2026, 08:58</w:t>
      </w:r>
    </w:p>
    <w:p>
      <w:pPr/>
      <w:r>
        <w:rPr/>
        <w:t xml:space="preserve">ΠΑΡΑΤΗΡΗΣΕΙΣ ΕΠΙ ΤΟΥ ΜΕΡΟΥΣ Β΄, Άρθρο 38</w:t>
      </w:r>
    </w:p>
    <w:p/>
    <w:p/>
    <w:p>
      <w:pPr/>
      <w:r>
        <w:rPr/>
        <w:t xml:space="preserve">Ο υφιστάμενος τρόπος υπολογισμού του κόστους κινηματογράφησης εντός των μουσείων, των μνημείων, των αρχαιολογικών χώρων και των ιστορικών τόπων, καθώς και το κόστος χρήσης οπτικοακουστικού υλικού αρχαιολογικού περιεχομένου για εμπορική εκμετάλλευση σε ψηφιακή μορφή (ΜΕΡΟΣ Β΄, άρθρο 38, παρ. θ), διατυπώθηκε στην ΚΥΑ της 19.7.2019.</w:t>
      </w:r>
    </w:p>
    <w:p/>
    <w:p/>
    <w:p>
      <w:pPr/>
      <w:r>
        <w:rPr/>
        <w:t xml:space="preserve">Ήδη από το 2019, οι ενώσεις παραγωγών και επαγγελματιών του χώρου έχουμε συζητήσει και παραδώσει σχετικά υπομνήματα στις αρμόδιες υπηρεσίες, καταδεικνύοντας πως αυτός ο τρόπος ήταν ένα περίπλοκο, γραφειοκρατικό και, τελικά, πρακτικά αδύνατο να εφαρμοστεί σύστημα χρεώσεων, το οποίο δυστυχώς δεν θεραπεύτηκε από κάποιες βελτιώσεις που έγιναν στις επόμενες ΚΥΑ.</w:t>
      </w:r>
    </w:p>
    <w:p/>
    <w:p/>
    <w:p>
      <w:pPr/>
      <w:r>
        <w:rPr/>
        <w:t xml:space="preserve">Με αφορμή τη (σωστή, κατά τη γνώμη μας) κατηγοριοποίηση των αρχαιολογικών χώρων που προτείνεται στο παρόν προσχέδιο νόμου (ΜΕΡΟΣ Α΄, άρθρο 5, παρ. η) η ΈΝΩΣΗ ΠΑΡΑΓΩΓΩΝ ΟΠΤΙΚΟΑΚΟΥΣΤΙΚΩΝ ΈΡΓΩΝ PACT κάνει την παρακάτω πρόταση με στόχο μια απλή, διαφανή, αποκεντρωμένη διαδικασία, η οποία αφενός να εξασφαλίζει τον κάθε χώρο από οποιαδήποτε αθέμιτη χρήση, αλλά και επιτρέπει στην κάθε εταιρεία παραγωγής να γνωρίζει άμεσα με ποιο κόστος και υπό ποιες συνθήκες μπορεί να κάνει τα επιθυμητά γυρίσματα.</w:t>
      </w:r>
    </w:p>
    <w:p/>
    <w:p/>
    <w:p>
      <w:pPr/>
      <w:r>
        <w:rPr/>
        <w:t xml:space="preserve">Προτείνουμε…</w:t>
      </w:r>
    </w:p>
    <w:p/>
    <w:p>
      <w:pPr/>
      <w:r>
        <w:rPr/>
        <w:t xml:space="preserve">•	Για έργα μυθοπλασίας να ζητείται μόνο περιγραφή των σκηνών που θα γυριστούν στον ζητούμενο χώρο, ώστε να είναι σαφές ότι το έργο δεν προβάλλει τη βία, τον ρατσισμό ή τον σεξισμό και δεν παραβιάζει την ισχύουσα ελληνική νομοθεσία. Όσον αφορά όμως έργα τεκμηρίωσης (ντοκιμαντέρ) τα οποία έχουν ως αντικείμενο τον αρχαιολογικό χώρο ή συναφές θέμα, θα απαιτείται και η κατάθεση του σχετικού σεναρίου.</w:t>
      </w:r>
    </w:p>
    <w:p/>
    <w:p>
      <w:pPr/>
      <w:r>
        <w:rPr/>
        <w:t xml:space="preserve">•	Την θέσπιση προδιαγραφών για τη χρήση ενός αρχαιολογικού χώρου (π.χ. ασφάλιση, χρεώσεις υπηρεσιών, χρεώσεις προσωπικού υποστήριξης, φύλαξη κ.λπ.).</w:t>
      </w:r>
    </w:p>
    <w:p/>
    <w:p>
      <w:pPr/>
      <w:r>
        <w:rPr/>
        <w:t xml:space="preserve">•	Την τυποποίηση των συμφωνητικών παραχώρησης για κινηματογράφηση αρχαιολογικών χώρων.</w:t>
      </w:r>
    </w:p>
    <w:p/>
    <w:p>
      <w:pPr/>
      <w:r>
        <w:rPr/>
        <w:t xml:space="preserve">•	Την δημιουργία ενός τιμοκατάλογου κινηματογράφησης αρχαιολογικών χώρων, με απλά αντικειμενικά κριτήρια βάσει της κατηγοριοποίησης που προτείνεται στο παρόν προσχέδιο νόμου (ΜΕΡΟΣ Α΄, άρθρο 5, παρ. η) </w:t>
      </w:r>
    </w:p>
    <w:p/>
    <w:p>
      <w:pPr/>
      <w:r>
        <w:rPr/>
        <w:t xml:space="preserve">•	Ενσωμάτωση των χρεώσεων που αφορούν τη διανομή του παραγόμενου έργου  στο κόστος κινηματογράφησης. Η διαδικασία επιβολής τέλους δημοσίευσης μετά την ολοκλήρωση του έργου, είναι κατάλοιπο από δικαιώματα παραχώρησης χρήσης σε εκδόσεις βιβλίων τα οποία εκδίδοντο σε συγκεκριμένο αριθμό αντιτύπων. Όσον αφορά όμως ένα οπτικοακουστικό έργο, ο αναμενόμενος αριθμός μέσων προβολής και θεατών στο σημερινό πολυσύνθετο περιβάλλον δεν μπορεί πλέον να ελεγχθεί και γι' αυτό δεν εφαρμόζεται σε καμία χώρα.</w:t>
      </w:r>
    </w:p>
    <w:p/>
    <w:p/>
    <w:p>
      <w:pPr/>
      <w:r>
        <w:rPr/>
        <w:t xml:space="preserve">Παράλληλα, για την αποκέντρωση της διαδικασίας αδειοδότησης προτείνουμε τον διαχωρισμό των αρχαιολογικών χώρων σε κατηγορίες (ζώνες), όπου ανάλογα με τη σπουδαιότητα και την αιτούμενη χρήση τους, θα απαιτείται αδειοδότηση από το ΚΑΣ ή από την τοπική εφορεία.Π.χ. </w:t>
      </w:r>
    </w:p>
    <w:p/>
    <w:p/>
    <w:p>
      <w:pPr/>
      <w:r>
        <w:rPr/>
        <w:t xml:space="preserve">Στην ΠΡΑΣΙΝΗ ΖΩΝΗ θα ανήκουν όλοι οι μη περιφραγμένοι αρχαιολογικοί χώροι, οι οποίοι σε κάθε περίπτωση είναι ελεύθεροι στο κοινό. Π.χ. η πόλη της Κέρκυρας, η χώρα της Μυκόνου, η παραλία της Χιλιαδούς κ.λπ. Εδώ δεν θα απαιτείται άδεια γυρίσματος ούτε κάποιο κόστος χρήσης, όπως άλλωστε σωστά προβλέπεται στην ΚΥΑ 4/7/2019, τεύχος Β΄, Α.Φ. 2821: ΑΡΘΡΟ 2, ΙV. Στην περίπτωση φωτογράφησης ή βιντεοσκόπησης σε υπαίθριους, δημόσιους χώρους του σύγχρονου αστικού(*) τοπίου, όπου στον πολεοδομικό ιστό παρεμβάλλονται μνημεία, η φωτογράφηση ή βιντεοσκόπηση δύναται να πραγματοποιηθεί χωρίς άδεια από το ΥΠΠΟΑ, εφόσον δεν εστιάζει στο μνημείο και δεν αφορά άμεσα ή έμμεσα σε αυτό. (*) προτείνουμε να προστεθούν οι λέξεις «και υπεραστικού»</w:t>
      </w:r>
    </w:p>
    <w:p/>
    <w:p/>
    <w:p>
      <w:pPr/>
      <w:r>
        <w:rPr/>
        <w:t xml:space="preserve">Στην ΚΙΤΡΙΝΗ ΖΩΝΗ θα ανήκουν όλοι οι περιφραγμένοι αρχαιολογικοί χώροι βάσει της κατηγοριοποίησης Γ, Δ και Ε που προτείνεται στο παρόν προσχέδιο νόμου (ΜΕΡΟΣ Α΄, άρθρο 5, παρ. η) που διαχειρίζεται μια αρμόδια εφορεία, στους οποίους επιτρέπεται η είσοδος του κοινού είτε ελεύθερα είτε επί πληρωμή κάποιου εισιτηρίου. Για την άδεια γυρίσματος θα απαιτείται αίτημα στη σχετική εφορεία και ένα κόστος χρήσης ανάλογα με το μέγεθος της παραγωγής. Με βάση την τυποποιημένη αίτηση παραχώρησης και τον ήδη γνωστό τιμοκατάλογο, η απάντηση θα πρέπει να δίνεται το αργότερο εντός 7 ημερών.</w:t>
      </w:r>
    </w:p>
    <w:p/>
    <w:p/>
    <w:p>
      <w:pPr/>
      <w:r>
        <w:rPr/>
        <w:t xml:space="preserve">Στην ΚΟΚΚΙΝΗ ΖΩΝΗ θα ανήκουν μνημεία εγγεγραμμένα βάσει της κατηγοριοποίησης Α και Β που προτείνεται στο παρόν προσχέδιο νόμου (ΜΕΡΟΣ Α΄, άρθρο 5, παρ. η)στον Κατάλογο Μνημείων Παγκόσμιας Κληρονομιάς. Για την άδεια γυρίσματος θα απαιτείται αίτημα στο ΚΑΣ, παρουσία του παραγωγού κατά τη συζήτηση και κόστος χρήσης ανάλογα με το μέγεθος και το είδος της παραγωγής. Η απάντηση θα δίνεται το αργότερο εντός 30 ημερών.</w:t>
      </w:r>
    </w:p>
    <w:p/>
    <w:p/>
    <w:p>
      <w:pPr/>
      <w:r>
        <w:rPr/>
        <w:t xml:space="preserve">Με δεδομένο ότι το Υπουργείο Πολιτισμού είναι ο εποπτεύων οργανισμός του ΕΚΚΟΜΕΔ και φροντίζει για την ανταγωνιστικότητα της παραγωγής οπτικοακουστικών έργων στην Ελλάδα, προτείνουμε να δικαιούνται απαλλαγή από τα τέλη κινηματογράφησης αρχαιολογικών χώρων οι συμπαραγωγές των επιλεκτικών προγραμμάτων, όπως και οι ενισχυόμενες παραγωγές βάσει της ισχύουσας νομοθεσίας.</w:t>
      </w:r>
    </w:p>
    <w:p/>
    <w:p/>
    <w:p>
      <w:pPr/>
      <w:r>
        <w:rPr/>
        <w:t xml:space="preserve">Όλα τα παραπάνω στοιχεία (χάρτες, ζώνες, τιμοκατάλογοι, πρόσθετες παροχές, φόρμα αίτησης κ.λπ.) θα πρέπει να είναι αναρτημένα στις σχετικές ιστοσελίδες των Φορέων διαχείρισης, οπωσδήποτε στα Αγγλικά και με συνεχή ανανέωση.</w:t>
      </w:r>
    </w:p>
    <w:p/>
    <w:p/>
    <w:p>
      <w:pPr/>
      <w:r>
        <w:rPr/>
        <w:t xml:space="preserve">‘Όσον αφορά την δημοσιότητα των χώρων, θα πρέπει να εμφανίζονται στους τίτλους τέλους του έργου οι γνωστοποιήσεις των δικαιωμάτων και της προέλευσης των μνημείων, σύμφωνα με τυποποιημένη αναφορά από το ΥΠΠΟ.</w:t>
      </w:r>
    </w:p>
    <w:p/>
    <w:p/>
    <w:p>
      <w:pPr/>
      <w:r>
        <w:rPr/>
        <w:t xml:space="preserve">Είμαστε στη διάθεση των αρμόδιων υπηρεσιών σας για περαιτέρω διευκρινίσεις και ουσιαστικό διάλογο με στόχο τη βέλτιστη συνεργασία για θέματα παραγωγής οπτικοακουστικών έργων.</w:t>
      </w:r>
    </w:p>
    <w:p/>
    <w:p>
      <w:pPr/>
      <w:r>
        <w:rPr/>
        <w:t xml:space="preserve">ΕΝΩΣΗ ΠΑΡΑΓΩΓΩΝ ΟΠΤΙΚΟΑΚΟΥΣΤΙΚΩΝ ΕΡΓΩΝ PACT</w:t>
      </w:r>
    </w:p>
    <w:p/>
    <w:p/>
    <w:p/>
    <w:bookmarkStart w:id="2" w:name="og_article_3"/>
    <w:bookmarkEnd w:id="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3 – ΜΕΡΟΣ Γ’ (Άρθρα 52-73)</w:t>
      </w:r>
    </w:p>
    <w:p>
      <w:pPr>
        <w:jc w:val="both"/>
      </w:pPr>
      <w:r>
        <w:rPr>
          <w:sz w:val="22"/>
          <w:szCs w:val="22"/>
        </w:rPr>
        <w:t xml:space="preserve">ΜΕΡΟΣ Γ’ ΣΤΡΑΤΗΓΙΚΗ ΓΙΑ ΤΗΝ ΠΡΟΣΤΑΣΙΑ ΚΑΙ ΑΝΑΔΕΙΞΗ ΤΗΣ ΕΝΑΛΙΑΣ ΠΟΛΙΤΙΣΤΙΚΗΣ ΚΛΗΡΟΝΟΜΙΑΣ ΤΗΣ ΕΛΛΑΔΑΣ – ΙΔΡΥΣΗ ΦΟΡΕΑ ΔΙΑΧΕΙΡΙΣΗΣ ΕΠΙΣΚΕΨΙΜΩΝ ΧΩΡΩΝ ΕΝΑΛΙΑΣ ΠΟΛΙΤΙΣΤΙΚΗΣ ΚΛΗΡΟΝΟΜΙΑΣ</w:t>
      </w:r>
    </w:p>
    <w:p>
      <w:pPr>
        <w:jc w:val="both"/>
      </w:pPr>
      <w:r>
        <w:rPr>
          <w:sz w:val="22"/>
          <w:szCs w:val="22"/>
          <w:b w:val="1"/>
          <w:bCs w:val="1"/>
        </w:rPr>
        <w:t xml:space="preserve">ΚΕΦΑΛΑΙΟ Α΄</w:t>
      </w:r>
    </w:p>
    <w:p>
      <w:pPr>
        <w:jc w:val="both"/>
      </w:pPr>
      <w:r>
        <w:rPr>
          <w:sz w:val="22"/>
          <w:szCs w:val="22"/>
          <w:b w:val="1"/>
          <w:bCs w:val="1"/>
        </w:rPr>
        <w:t xml:space="preserve">ΓΕΝΙΚΕΣ ΔΙΑΤΑΞΕΙΣ</w:t>
      </w:r>
    </w:p>
    <w:p>
      <w:pPr>
        <w:jc w:val="both"/>
      </w:pPr>
      <w:r>
        <w:rPr>
          <w:sz w:val="22"/>
          <w:szCs w:val="22"/>
        </w:rPr>
        <w:t xml:space="preserve"> </w:t>
      </w:r>
    </w:p>
    <w:p>
      <w:pPr>
        <w:jc w:val="both"/>
      </w:pPr>
      <w:r>
        <w:rPr>
          <w:sz w:val="22"/>
          <w:szCs w:val="22"/>
          <w:b w:val="1"/>
          <w:bCs w:val="1"/>
        </w:rPr>
        <w:t xml:space="preserve">Άρθρο 52</w:t>
      </w:r>
    </w:p>
    <w:p>
      <w:pPr>
        <w:jc w:val="both"/>
      </w:pPr>
      <w:r>
        <w:rPr>
          <w:sz w:val="22"/>
          <w:szCs w:val="22"/>
          <w:b w:val="1"/>
          <w:bCs w:val="1"/>
        </w:rPr>
        <w:t xml:space="preserve">Σκοπός</w:t>
      </w:r>
    </w:p>
    <w:p>
      <w:pPr>
        <w:jc w:val="both"/>
      </w:pPr>
      <w:r>
        <w:rPr>
          <w:sz w:val="22"/>
          <w:szCs w:val="22"/>
          <w:b w:val="1"/>
          <w:bCs w:val="1"/>
        </w:rPr>
        <w:t xml:space="preserve"> </w:t>
      </w:r>
    </w:p>
    <w:p>
      <w:pPr>
        <w:jc w:val="both"/>
      </w:pPr>
      <w:r>
        <w:rPr>
          <w:sz w:val="22"/>
          <w:szCs w:val="22"/>
        </w:rPr>
        <w:t xml:space="preserve">Σκοπός του Μέρους Γ΄ είναι η υιοθέτηση ολοκληρωμένης στρατηγικής για την προστασία, προβολή και ανάδειξη της ενάλιας πολιτιστικής κληρονομιάς της Ελλάδας, η οποία περιλαμβάνει την οργάνωση, τη διαχείριση, τη λειτουργία, την έρευνα, την εκπαίδευση και την προβολή των επισκέψιμων χώρων ενάλιας πολιτιστικής κληρονομιάς, καθώς και την προώθηση συνεργασιών με εγχώριους και διεθνείς φορείς στον τομέα της ενάλιας πολιτιστικής κληρονομιάς, μέσω της ίδρυσης νομικού προσώπου δημοσίου δικαίου με την επωνυμία «Φορέας Διαχείρισης Επισκέψιμων Χώρων Ενάλιας Πολιτιστικής Κληρονομιάς».</w:t>
      </w:r>
    </w:p>
    <w:p>
      <w:pPr>
        <w:jc w:val="both"/>
      </w:pPr>
      <w:r>
        <w:rPr>
          <w:sz w:val="22"/>
          <w:szCs w:val="22"/>
        </w:rPr>
        <w:t xml:space="preserve"> </w:t>
      </w:r>
    </w:p>
    <w:p>
      <w:pPr>
        <w:jc w:val="both"/>
      </w:pPr>
      <w:r>
        <w:rPr>
          <w:sz w:val="22"/>
          <w:szCs w:val="22"/>
          <w:b w:val="1"/>
          <w:bCs w:val="1"/>
        </w:rPr>
        <w:t xml:space="preserve">Άρθρο 53</w:t>
      </w:r>
    </w:p>
    <w:p>
      <w:pPr>
        <w:jc w:val="both"/>
      </w:pPr>
      <w:r>
        <w:rPr>
          <w:sz w:val="22"/>
          <w:szCs w:val="22"/>
          <w:b w:val="1"/>
          <w:bCs w:val="1"/>
        </w:rPr>
        <w:t xml:space="preserve">Αντικείμενο</w:t>
      </w:r>
    </w:p>
    <w:p>
      <w:pPr>
        <w:jc w:val="both"/>
      </w:pPr>
      <w:r>
        <w:rPr>
          <w:sz w:val="22"/>
          <w:szCs w:val="22"/>
          <w:b w:val="1"/>
          <w:bCs w:val="1"/>
        </w:rPr>
        <w:t xml:space="preserve"> </w:t>
      </w:r>
    </w:p>
    <w:p>
      <w:pPr>
        <w:jc w:val="both"/>
      </w:pPr>
      <w:r>
        <w:rPr>
          <w:sz w:val="22"/>
          <w:szCs w:val="22"/>
        </w:rPr>
        <w:t xml:space="preserve">Αντικείμενο του Μέρους Γ’ είναι:</w:t>
      </w:r>
    </w:p>
    <w:p>
      <w:pPr>
        <w:jc w:val="both"/>
      </w:pPr>
      <w:r>
        <w:rPr>
          <w:sz w:val="22"/>
          <w:szCs w:val="22"/>
        </w:rPr>
        <w:t xml:space="preserve">α) η ίδρυση νομικού προσώπου δημοσίου δικαίου με την επωνυμία «Φορέας Διαχείρισης Επισκέψιμων Χώρων Ενάλιας Πολιτιστικής Κληρονομιάς» και</w:t>
      </w:r>
    </w:p>
    <w:p>
      <w:pPr>
        <w:jc w:val="both"/>
      </w:pPr>
      <w:r>
        <w:rPr>
          <w:sz w:val="22"/>
          <w:szCs w:val="22"/>
        </w:rPr>
        <w:t xml:space="preserve">β) η ανάπτυξη ολοκληρωμένου πλαισίου επίσκεψης για το σύνολο των επισκέψιμων χώρων ενάλιας πολιτιστικής κληρονομιάς.</w:t>
      </w:r>
    </w:p>
    <w:p>
      <w:pPr>
        <w:jc w:val="both"/>
      </w:pPr>
      <w:r>
        <w:rPr>
          <w:sz w:val="22"/>
          <w:szCs w:val="22"/>
          <w:b w:val="1"/>
          <w:bCs w:val="1"/>
        </w:rPr>
        <w:t xml:space="preserve"> </w:t>
      </w:r>
    </w:p>
    <w:p>
      <w:pPr>
        <w:jc w:val="both"/>
      </w:pPr>
      <w:r>
        <w:rPr>
          <w:sz w:val="22"/>
          <w:szCs w:val="22"/>
          <w:b w:val="1"/>
          <w:bCs w:val="1"/>
        </w:rPr>
        <w:t xml:space="preserve">ΚΕΦΑΛΑΙΟ Β’</w:t>
      </w:r>
    </w:p>
    <w:p>
      <w:pPr>
        <w:jc w:val="both"/>
      </w:pPr>
      <w:r>
        <w:rPr>
          <w:sz w:val="22"/>
          <w:szCs w:val="22"/>
          <w:b w:val="1"/>
          <w:bCs w:val="1"/>
        </w:rPr>
        <w:t xml:space="preserve">ΙΔΡΥΣΗ ΝΟΜΙΚΟΥ ΠΡΟΣΩΠΟΥ ΔΗΜΟΣΙΟΥ ΔΙΚΑΙΟΥ ΜΕ ΤΗΝ ΕΠΩΝΥΜΙΑ</w:t>
      </w:r>
    </w:p>
    <w:p>
      <w:pPr>
        <w:jc w:val="both"/>
      </w:pPr>
      <w:r>
        <w:rPr>
          <w:sz w:val="22"/>
          <w:szCs w:val="22"/>
          <w:b w:val="1"/>
          <w:bCs w:val="1"/>
        </w:rPr>
        <w:t xml:space="preserve">«ΦΟΡΕΑΣ ΔΙΑΧΕΙΡΙΣΗΣ ΕΠΙΣΚΕΨΙΜΩΝ ΧΩΡΩΝ ΕΝΑΛΙΑΣ ΠΟΛΙΤΙΣΤΙΚΗΣ ΚΛΗΡΟΝΟΜΙΑΣ»</w:t>
      </w:r>
    </w:p>
    <w:p>
      <w:pPr>
        <w:jc w:val="both"/>
      </w:pPr>
      <w:r>
        <w:rPr>
          <w:sz w:val="22"/>
          <w:szCs w:val="22"/>
          <w:b w:val="1"/>
          <w:bCs w:val="1"/>
        </w:rPr>
        <w:t xml:space="preserve"> </w:t>
      </w:r>
    </w:p>
    <w:p>
      <w:pPr>
        <w:jc w:val="both"/>
      </w:pPr>
      <w:r>
        <w:rPr>
          <w:sz w:val="22"/>
          <w:szCs w:val="22"/>
          <w:b w:val="1"/>
          <w:bCs w:val="1"/>
        </w:rPr>
        <w:t xml:space="preserve">Άρθρο 54</w:t>
      </w:r>
    </w:p>
    <w:p>
      <w:pPr>
        <w:jc w:val="both"/>
      </w:pPr>
      <w:r>
        <w:rPr>
          <w:sz w:val="22"/>
          <w:szCs w:val="22"/>
          <w:b w:val="1"/>
          <w:bCs w:val="1"/>
        </w:rPr>
        <w:t xml:space="preserve">Νομική μορφή – Έδρα</w:t>
      </w:r>
    </w:p>
    <w:p>
      <w:pPr>
        <w:jc w:val="both"/>
      </w:pPr>
      <w:r>
        <w:rPr>
          <w:sz w:val="22"/>
          <w:szCs w:val="22"/>
          <w:b w:val="1"/>
          <w:bCs w:val="1"/>
        </w:rPr>
        <w:t xml:space="preserve"> </w:t>
      </w:r>
    </w:p>
    <w:p>
      <w:pPr>
        <w:numPr>
          <w:ilvl w:val="0"/>
          <w:numId w:val="54"/>
        </w:numPr>
      </w:pPr>
      <w:r>
        <w:rPr>
          <w:sz w:val="22"/>
          <w:szCs w:val="22"/>
        </w:rPr>
        <w:t xml:space="preserve">Ιδρύεται νομικό πρόσωπο δημοσίου δικαίου με την επωνυμία «Φορέας Διαχείρισης Επισκέψιμων Χώρων Ενάλιας Πολιτιστικής Κληρονομιάς» (εφεξής «Φορέας»), με έδρα την Αθήνα. Ο Φορέας εποπτεύεται από τον Υπουργό Πολιτισμού. Για τις σχέσεις του με την αλλοδαπή, η επωνυμία του Φορέα ορίζεται ως «Hellenic Underwater Cultural Heritage».</w:t>
      </w:r>
    </w:p>
    <w:p>
      <w:pPr>
        <w:numPr>
          <w:ilvl w:val="0"/>
          <w:numId w:val="54"/>
        </w:numPr>
      </w:pPr>
      <w:r>
        <w:rPr>
          <w:sz w:val="22"/>
          <w:szCs w:val="22"/>
        </w:rPr>
        <w:t xml:space="preserve">Ο Φορέας απολαμβάνει των διοικητικών και δικαστικών ατελειών, καθώς και των δικονομικών και ουσιαστικών προνομίων του Δημοσίου, με εξαίρεση τους φόρους δωρεάς και κληρονομίας, καθώς και τον Ενιαίο Φόρο Ιδιοκτησίας Ακινήτων (ΕΝ.Φ.Ι.Α.). Ως προς τον Φόρο Προστιθέμενης Αξίας (Φ.Π.Α.), εφαρμόζεται ο Κώδικας Φόρου Προστιθέμενης Αξίας (ν. 5144/2024, Α’ 162).</w:t>
      </w:r>
    </w:p>
    <w:p>
      <w:pPr>
        <w:jc w:val="both"/>
      </w:pPr>
      <w:r>
        <w:rPr>
          <w:sz w:val="22"/>
          <w:szCs w:val="22"/>
        </w:rPr>
        <w:t xml:space="preserve"> </w:t>
      </w:r>
    </w:p>
    <w:p>
      <w:pPr>
        <w:jc w:val="both"/>
      </w:pPr>
      <w:r>
        <w:rPr>
          <w:sz w:val="22"/>
          <w:szCs w:val="22"/>
          <w:b w:val="1"/>
          <w:bCs w:val="1"/>
        </w:rPr>
        <w:t xml:space="preserve">Άρθρο 55</w:t>
      </w:r>
    </w:p>
    <w:p>
      <w:pPr>
        <w:jc w:val="both"/>
      </w:pPr>
      <w:r>
        <w:rPr>
          <w:sz w:val="22"/>
          <w:szCs w:val="22"/>
          <w:b w:val="1"/>
          <w:bCs w:val="1"/>
        </w:rPr>
        <w:t xml:space="preserve">Σκοπός και μέσα εκπλήρωσης</w:t>
      </w:r>
    </w:p>
    <w:p>
      <w:pPr>
        <w:jc w:val="both"/>
      </w:pPr>
      <w:r>
        <w:rPr>
          <w:sz w:val="22"/>
          <w:szCs w:val="22"/>
        </w:rPr>
        <w:t xml:space="preserve"> </w:t>
      </w:r>
    </w:p>
    <w:p>
      <w:pPr>
        <w:numPr>
          <w:ilvl w:val="0"/>
          <w:numId w:val="55"/>
        </w:numPr>
      </w:pPr>
      <w:r>
        <w:rPr>
          <w:sz w:val="22"/>
          <w:szCs w:val="22"/>
        </w:rPr>
        <w:t xml:space="preserve">Σκοπός του Φορέα είναι ο σχεδιασμός, η οργάνωση, η διαχείριση, η λειτουργία, η έρευνα, η εκπαίδευση και η προώθηση των επισκέψιμων χώρων ενάλιας πολιτιστικής κληρονομιάς και η προώθηση συνεργασιών με εγχώριους και διεθνείς φορείς στον τομέα της ενάλιας πολιτιστικής κληρονομιάς. Στον σκοπό του Φορέα περιλαμβάνονται ιδίως:</w:t>
      </w:r>
    </w:p>
    <w:p>
      <w:pPr>
        <w:jc w:val="both"/>
      </w:pPr>
      <w:r>
        <w:rPr>
          <w:sz w:val="22"/>
          <w:szCs w:val="22"/>
        </w:rPr>
        <w:t xml:space="preserve">α) η προστασία και ανάδειξη της ενάλιας πολιτιστικής κληρονομιάς της Ελλάδας, σε συνεργασία με τις αρμόδιες υπηρεσίες του Υπουργείου Πολιτισμού,</w:t>
      </w:r>
    </w:p>
    <w:p>
      <w:pPr>
        <w:jc w:val="both"/>
      </w:pPr>
      <w:r>
        <w:rPr>
          <w:sz w:val="22"/>
          <w:szCs w:val="22"/>
        </w:rPr>
        <w:t xml:space="preserve">β) η οργάνωση, διαχείριση, προβολή και ανάδειξη των χώρων αρμοδιότητάς του με ενιαία πρότυπα βιωσιμότητας,</w:t>
      </w:r>
    </w:p>
    <w:p>
      <w:pPr>
        <w:jc w:val="both"/>
      </w:pPr>
      <w:r>
        <w:rPr>
          <w:sz w:val="22"/>
          <w:szCs w:val="22"/>
        </w:rPr>
        <w:t xml:space="preserve">γ) η προώθηση της έρευνας, της γνώσης και της καινοτομίας στους τομείς της ενάλιας πολιτιστικής κληρονομιάς, της ψηφιακής τεκμηρίωσης και των νέων τεχνολογιών,</w:t>
      </w:r>
    </w:p>
    <w:p>
      <w:pPr>
        <w:jc w:val="both"/>
      </w:pPr>
      <w:r>
        <w:rPr>
          <w:sz w:val="22"/>
          <w:szCs w:val="22"/>
        </w:rPr>
        <w:t xml:space="preserve">δ) η εκπαίδευση ειδικών επιστημόνων και του κοινού σε θέματα ενάλιας πολιτιστικής κληρονομιάς και θαλάσσιου γραμματισμού,</w:t>
      </w:r>
    </w:p>
    <w:p>
      <w:pPr>
        <w:jc w:val="both"/>
      </w:pPr>
      <w:r>
        <w:rPr>
          <w:sz w:val="22"/>
          <w:szCs w:val="22"/>
        </w:rPr>
        <w:t xml:space="preserve">ε) η διασύνδεση της επιστήμης με τον πολιτισμό και τον τουρισμό μέσω της δημιουργίας εμπειριών και προϊόντων και της παροχής υπηρεσιών υψηλής ποιότητας,</w:t>
      </w:r>
    </w:p>
    <w:p>
      <w:pPr>
        <w:jc w:val="both"/>
      </w:pPr>
      <w:r>
        <w:rPr>
          <w:sz w:val="22"/>
          <w:szCs w:val="22"/>
        </w:rPr>
        <w:t xml:space="preserve">στ) η ενίσχυση της περιφερειακής ανάπτυξης και της κοινωνικής συνοχής μέσω δικτύων συνεργασιών με δημόσιους και ιδιωτικούς φορείς,</w:t>
      </w:r>
    </w:p>
    <w:p>
      <w:pPr>
        <w:jc w:val="both"/>
      </w:pPr>
      <w:r>
        <w:rPr>
          <w:sz w:val="22"/>
          <w:szCs w:val="22"/>
        </w:rPr>
        <w:t xml:space="preserve">ζ) η ανάπτυξη διεθνών συνεργασιών και</w:t>
      </w:r>
    </w:p>
    <w:p>
      <w:pPr>
        <w:jc w:val="both"/>
      </w:pPr>
      <w:r>
        <w:rPr>
          <w:sz w:val="22"/>
          <w:szCs w:val="22"/>
        </w:rPr>
        <w:t xml:space="preserve">η) η εξωστρέφεια και προβολή της Ελλάδας ως προτύπου στον τομέα της διαχείρισης της ενάλιας πολιτιστικής κληρονομιάς.</w:t>
      </w:r>
    </w:p>
    <w:p>
      <w:pPr>
        <w:numPr>
          <w:ilvl w:val="0"/>
          <w:numId w:val="56"/>
        </w:numPr>
      </w:pPr>
      <w:r>
        <w:rPr>
          <w:sz w:val="22"/>
          <w:szCs w:val="22"/>
        </w:rPr>
        <w:t xml:space="preserve">Ο σκοπός του Φορέα εκπληρώνεται ιδίως με:</w:t>
      </w:r>
    </w:p>
    <w:p>
      <w:pPr>
        <w:jc w:val="both"/>
      </w:pPr>
      <w:r>
        <w:rPr>
          <w:sz w:val="22"/>
          <w:szCs w:val="22"/>
        </w:rPr>
        <w:t xml:space="preserve">α) την ανάπτυξη σχέσεων με αντίστοιχους φορείς σε άλλα κράτη μέλη της Ευρωπαϊκής Ένωσης και τρίτες χώρες για τη συνεργασία σε θέματα αρμοδιότητάς του και τη μέριμνα για την ενεργό συμμετοχή της χώρας σε προγράμματα της Ευρωπαϊκής Ένωσης και διεθνών οργανισμών,</w:t>
      </w:r>
    </w:p>
    <w:p>
      <w:pPr>
        <w:jc w:val="both"/>
      </w:pPr>
      <w:r>
        <w:rPr>
          <w:sz w:val="22"/>
          <w:szCs w:val="22"/>
        </w:rPr>
        <w:t xml:space="preserve">β) τη συνεργασία με φορείς του δημόσιου και ιδιωτικού τομέα της ημεδαπής και της αλλοδαπής,</w:t>
      </w:r>
    </w:p>
    <w:p>
      <w:pPr>
        <w:jc w:val="both"/>
      </w:pPr>
      <w:r>
        <w:rPr>
          <w:sz w:val="22"/>
          <w:szCs w:val="22"/>
        </w:rPr>
        <w:t xml:space="preserve">γ) την προστασία των χώρων που διαχειρίζεται, μέσω της εφαρμογής μέτρων παρακολούθησης, φύλαξης, τεκμηρίωσης και διασφάλισης της ακεραιότητας των μνημείων, του θαλάσσιου περιβάλλοντος και των σχετικών με τους σκοπούς του Φορέα χερσαίων χώρων και υποδομών υποστήριξης και ενημέρωσης, σε συνεργασία με τις αρμόδιες υπηρεσίες του Υπουργείου Πολιτισμού,</w:t>
      </w:r>
    </w:p>
    <w:p>
      <w:pPr>
        <w:jc w:val="both"/>
      </w:pPr>
      <w:r>
        <w:rPr>
          <w:sz w:val="22"/>
          <w:szCs w:val="22"/>
        </w:rPr>
        <w:t xml:space="preserve">δ) την ανάπτυξη ολοκληρωμένου πλαισίου επίσκεψης για το σύνολο των χώρων που διαχειρίζεται,</w:t>
      </w:r>
    </w:p>
    <w:p>
      <w:pPr>
        <w:jc w:val="both"/>
      </w:pPr>
      <w:r>
        <w:rPr>
          <w:sz w:val="22"/>
          <w:szCs w:val="22"/>
        </w:rPr>
        <w:t xml:space="preserve">ε) την προβολή της ενάλιας πολιτιστικής κληρονομιάς, με στόχο την ενημέρωση, ευαισθητοποίηση και ενεργοποίηση του κοινού σε εθνικό και διεθνές επίπεδο,</w:t>
      </w:r>
    </w:p>
    <w:p>
      <w:pPr>
        <w:jc w:val="both"/>
      </w:pPr>
      <w:r>
        <w:rPr>
          <w:sz w:val="22"/>
          <w:szCs w:val="22"/>
        </w:rPr>
        <w:t xml:space="preserve">στ) τον σχεδιασμό, την οργάνωση και την υλοποίηση εκπαιδευτικών προγραμμάτων, τη δημιουργία εργαστηρίων, την πραγματοποίηση ξεναγήσεων και άλλων εκπαιδευτικών δράσεων, καθώς και την παραγωγή έντυπων και ηλεκτρονικών εκδόσεων,</w:t>
      </w:r>
    </w:p>
    <w:p>
      <w:pPr>
        <w:jc w:val="both"/>
      </w:pPr>
      <w:r>
        <w:rPr>
          <w:sz w:val="22"/>
          <w:szCs w:val="22"/>
        </w:rPr>
        <w:t xml:space="preserve">ζ) τη διοργάνωση διαλέξεων, σεμιναρίων, συνεδρίων και άλλων εκδηλώσεων επιστημονικού χαρακτήρα,</w:t>
      </w:r>
    </w:p>
    <w:p>
      <w:pPr>
        <w:jc w:val="both"/>
      </w:pPr>
      <w:r>
        <w:rPr>
          <w:sz w:val="22"/>
          <w:szCs w:val="22"/>
        </w:rPr>
        <w:t xml:space="preserve">η) τη συμμετοχή σε κάθε είδους ερευνητικά και εκπαιδευτικά προγράμματα, αυτοτελώς ή σε συνεργασία με τις υπηρεσίες του Υπουργείου Πολιτισμού, ελληνικά και διεθνή ακαδημαϊκά ιδρύματα, επιστημονικούς και πολιτιστικούς φορείς που σχετίζονται με τους τομείς δραστηριοποίησης του Φορέα, την ανταλλαγή επιστημονικών δεδομένων, γνώσεων και εμπειριών, καθώς και την προώθηση και προαγωγή των επιστημών της αρχαιολογίας, της ιστορίας και της συντήρησης αρχαιοτήτων,</w:t>
      </w:r>
    </w:p>
    <w:p>
      <w:pPr>
        <w:jc w:val="both"/>
      </w:pPr>
      <w:r>
        <w:rPr>
          <w:sz w:val="22"/>
          <w:szCs w:val="22"/>
        </w:rPr>
        <w:t xml:space="preserve">θ) την ανάπτυξη, τη διαχείριση, τη λειτουργία, την επικαιροποίηση και τον εμπλουτισμό του περιεχομένου και της λειτουργικότητας οργανωμένου ιστοχώρου, προσβάσιμου και σε άτομα με αναπηρία, ο οποίος παρέχει στο εγχώριο και παγκόσμιο κοινό την κατάλληλη πληροφόρηση για τον Φορέα, τους χώρους που διαχειρίζεται και τις δράσεις του, τη χρήση και αξιοποίηση των σύγχρονων τεχνολογικών εφαρμογών και μέσων, καθώς και την ανάπτυξη ψηφιακών εφαρμογών, προϊόντων και υπηρεσιών, προσβάσιμων και σε άτομα με αναπηρία, με διαδραστικό περιεχόμενο, που συμβάλλουν στην έρευνα, μελέτη, τεκμηρίωση, διάχυση και ανάδειξη της ενάλιας πολιτιστικής κληρονομιάς,</w:t>
      </w:r>
    </w:p>
    <w:p>
      <w:pPr>
        <w:jc w:val="both"/>
      </w:pPr>
      <w:r>
        <w:rPr>
          <w:sz w:val="22"/>
          <w:szCs w:val="22"/>
        </w:rPr>
        <w:t xml:space="preserve">ι) την ίδρυση και λειτουργία Γραφείων,</w:t>
      </w:r>
    </w:p>
    <w:p>
      <w:pPr>
        <w:jc w:val="both"/>
      </w:pPr>
      <w:r>
        <w:rPr>
          <w:sz w:val="22"/>
          <w:szCs w:val="22"/>
        </w:rPr>
        <w:t xml:space="preserve">ια) την αξιοποίηση των ακινήτων που ανήκουν στην κυριότητά του ή του παραχωρούνται κατά χρήση, σύμφωνα με την κείμενη νομοθεσία,</w:t>
      </w:r>
    </w:p>
    <w:p>
      <w:pPr>
        <w:jc w:val="both"/>
      </w:pPr>
      <w:r>
        <w:rPr>
          <w:sz w:val="22"/>
          <w:szCs w:val="22"/>
        </w:rPr>
        <w:t xml:space="preserve">ιβ) την αξιοποίηση της σύγχρονης ψηφιακής τεχνολογίας και της τεχνητής νοημοσύνης,</w:t>
      </w:r>
    </w:p>
    <w:p>
      <w:pPr>
        <w:jc w:val="both"/>
      </w:pPr>
      <w:r>
        <w:rPr>
          <w:sz w:val="22"/>
          <w:szCs w:val="22"/>
        </w:rPr>
        <w:t xml:space="preserve">ιγ) την ανάπτυξη βιβλιοθήκης για την ιστορία της ενάλιας πολιτιστικής κληρονομιάς,</w:t>
      </w:r>
    </w:p>
    <w:p>
      <w:pPr>
        <w:jc w:val="both"/>
      </w:pPr>
      <w:r>
        <w:rPr>
          <w:sz w:val="22"/>
          <w:szCs w:val="22"/>
        </w:rPr>
        <w:t xml:space="preserve">ιδ) τη σύναψη προγραμματικών συμβάσεων, προγραμματικών συμφωνιών και μνημονίων συνεργασίας και τη συμμετοχή σε αυτά,</w:t>
      </w:r>
    </w:p>
    <w:p>
      <w:pPr>
        <w:jc w:val="both"/>
      </w:pPr>
      <w:r>
        <w:rPr>
          <w:sz w:val="22"/>
          <w:szCs w:val="22"/>
        </w:rPr>
        <w:t xml:space="preserve">ιε) τη συμμετοχή σε ευρωπαϊκά και διεθνή προγράμματα πολιτιστικού χαρακτήρα και</w:t>
      </w:r>
    </w:p>
    <w:p>
      <w:pPr>
        <w:jc w:val="both"/>
      </w:pPr>
      <w:r>
        <w:rPr>
          <w:sz w:val="22"/>
          <w:szCs w:val="22"/>
        </w:rPr>
        <w:t xml:space="preserve">ιστ) την ενθάρρυνση της εθελοντικής προσφοράς για τη διάδοση, υποστήριξη και συνεπικουρία των δράσεων του Φορέα.</w:t>
      </w:r>
    </w:p>
    <w:p>
      <w:pPr>
        <w:jc w:val="both"/>
      </w:pPr>
      <w:r>
        <w:rPr>
          <w:sz w:val="22"/>
          <w:szCs w:val="22"/>
        </w:rPr>
        <w:t xml:space="preserve"> </w:t>
      </w:r>
    </w:p>
    <w:p>
      <w:pPr>
        <w:jc w:val="both"/>
      </w:pPr>
      <w:r>
        <w:rPr>
          <w:sz w:val="22"/>
          <w:szCs w:val="22"/>
          <w:b w:val="1"/>
          <w:bCs w:val="1"/>
        </w:rPr>
        <w:t xml:space="preserve">Άρθρο 56</w:t>
      </w:r>
    </w:p>
    <w:p>
      <w:pPr>
        <w:jc w:val="both"/>
      </w:pPr>
      <w:r>
        <w:rPr>
          <w:sz w:val="22"/>
          <w:szCs w:val="22"/>
          <w:b w:val="1"/>
          <w:bCs w:val="1"/>
        </w:rPr>
        <w:t xml:space="preserve"> Πόροι</w:t>
      </w:r>
    </w:p>
    <w:p>
      <w:pPr>
        <w:jc w:val="both"/>
      </w:pPr>
      <w:r>
        <w:rPr>
          <w:sz w:val="22"/>
          <w:szCs w:val="22"/>
          <w:b w:val="1"/>
          <w:bCs w:val="1"/>
        </w:rPr>
        <w:t xml:space="preserve"> </w:t>
      </w:r>
    </w:p>
    <w:p>
      <w:pPr>
        <w:jc w:val="both"/>
      </w:pPr>
      <w:r>
        <w:rPr>
          <w:sz w:val="22"/>
          <w:szCs w:val="22"/>
        </w:rPr>
        <w:t xml:space="preserve">Πόροι του Φορέα είναι:</w:t>
      </w:r>
    </w:p>
    <w:p>
      <w:pPr>
        <w:jc w:val="both"/>
      </w:pPr>
      <w:r>
        <w:rPr>
          <w:sz w:val="22"/>
          <w:szCs w:val="22"/>
        </w:rPr>
        <w:t xml:space="preserve">α) η ετήσια επιχορήγηση από τον κρατικό προϋπολογισμό και το εθνικό ή συγχρηματοδοτούμενο σκέλος του Αναπτυξιακού Προγράμματος Δημοσίων Επενδύσεων, που χρηματοδοτείται από τον Προϋπολογισμό Δημοσίων Επενδύσεων,</w:t>
      </w:r>
    </w:p>
    <w:p>
      <w:pPr>
        <w:jc w:val="both"/>
      </w:pPr>
      <w:r>
        <w:rPr>
          <w:sz w:val="22"/>
          <w:szCs w:val="22"/>
        </w:rPr>
        <w:t xml:space="preserve">β) κληρονομίες, κληροδοσίες, δωρεές, χορηγίες και λοιπές παροχές από χαριστική αιτία,</w:t>
      </w:r>
    </w:p>
    <w:p>
      <w:pPr>
        <w:jc w:val="both"/>
      </w:pPr>
      <w:r>
        <w:rPr>
          <w:sz w:val="22"/>
          <w:szCs w:val="22"/>
        </w:rPr>
        <w:t xml:space="preserve">γ) χρηματοδοτήσεις και επιδοτήσεις από την Ευρωπαϊκή Ένωση και διεθνείς οργανισμούς,</w:t>
      </w:r>
    </w:p>
    <w:p>
      <w:pPr>
        <w:jc w:val="both"/>
      </w:pPr>
      <w:r>
        <w:rPr>
          <w:sz w:val="22"/>
          <w:szCs w:val="22"/>
        </w:rPr>
        <w:t xml:space="preserve">δ) πάσης φύσεως έσοδα από τις οικονομικές δραστηριότητες του Φορέα, όπως έσοδα από τη δημιουργία και εκμετάλλευση πωλητηρίων και την πώληση εισιτηρίων και πάσης φύσεως έντυπων και ψηφιακών εκδόσεων, έσοδα από δικαιώματα αναπαραγωγής περιεχομένου, δικαιώματα χρήσης ειδικών σημάτων και δικαιώματα πνευματικής ιδιοκτησίας, καθώς και έσοδα από την εκμίσθωση ή διάθεση χώρων του Φορέα για εκδηλώσεις, πολιτιστικές δραστηριότητες και συνέδρια, υπό την επιφύλαξη του άρθρου 13 του ν. 3409/2005 (Α’ 273), περί καταδυτικών πάρκων και οργανωμένων καταδύσεων,</w:t>
      </w:r>
    </w:p>
    <w:p>
      <w:pPr>
        <w:jc w:val="both"/>
      </w:pPr>
      <w:r>
        <w:rPr>
          <w:sz w:val="22"/>
          <w:szCs w:val="22"/>
        </w:rPr>
        <w:t xml:space="preserve">ε) οι πρόσοδοι και οι τόκοι καταθέσεων σε πιστωτικά ιδρύματα,</w:t>
      </w:r>
    </w:p>
    <w:p>
      <w:pPr>
        <w:jc w:val="both"/>
      </w:pPr>
      <w:r>
        <w:rPr>
          <w:sz w:val="22"/>
          <w:szCs w:val="22"/>
        </w:rPr>
        <w:t xml:space="preserve">στ) χρηματοδοτήσεις από τη συμμετοχή του Φορέα σε ερευνητικά προγράμματα,</w:t>
      </w:r>
    </w:p>
    <w:p>
      <w:pPr>
        <w:jc w:val="both"/>
      </w:pPr>
      <w:r>
        <w:rPr>
          <w:sz w:val="22"/>
          <w:szCs w:val="22"/>
        </w:rPr>
        <w:t xml:space="preserve">ζ) έσοδα από την εκμετάλλευση περιουσιακών του στοιχείων και</w:t>
      </w:r>
    </w:p>
    <w:p>
      <w:pPr>
        <w:jc w:val="both"/>
      </w:pPr>
      <w:r>
        <w:rPr>
          <w:sz w:val="22"/>
          <w:szCs w:val="22"/>
        </w:rPr>
        <w:t xml:space="preserve">η) έσοδα από οποιαδήποτε άλλη πηγή.</w:t>
      </w:r>
    </w:p>
    <w:p>
      <w:pPr>
        <w:jc w:val="both"/>
      </w:pPr>
      <w:r>
        <w:rPr>
          <w:sz w:val="22"/>
          <w:szCs w:val="22"/>
          <w:b w:val="1"/>
          <w:bCs w:val="1"/>
        </w:rPr>
        <w:t xml:space="preserve"> </w:t>
      </w:r>
    </w:p>
    <w:p>
      <w:pPr>
        <w:jc w:val="both"/>
      </w:pPr>
      <w:r>
        <w:rPr>
          <w:sz w:val="22"/>
          <w:szCs w:val="22"/>
          <w:b w:val="1"/>
          <w:bCs w:val="1"/>
        </w:rPr>
        <w:t xml:space="preserve">ΚΕΦΑΛΑΙΟ Γ’</w:t>
      </w:r>
    </w:p>
    <w:p>
      <w:pPr>
        <w:jc w:val="both"/>
      </w:pPr>
      <w:r>
        <w:rPr>
          <w:sz w:val="22"/>
          <w:szCs w:val="22"/>
          <w:b w:val="1"/>
          <w:bCs w:val="1"/>
        </w:rPr>
        <w:t xml:space="preserve">ΔΙΟΙΚΗΣΗ</w:t>
      </w:r>
    </w:p>
    <w:p>
      <w:pPr>
        <w:jc w:val="both"/>
      </w:pPr>
      <w:r>
        <w:rPr>
          <w:sz w:val="22"/>
          <w:szCs w:val="22"/>
          <w:b w:val="1"/>
          <w:bCs w:val="1"/>
        </w:rPr>
        <w:t xml:space="preserve"> </w:t>
      </w:r>
    </w:p>
    <w:p>
      <w:pPr>
        <w:jc w:val="both"/>
      </w:pPr>
      <w:r>
        <w:rPr>
          <w:sz w:val="22"/>
          <w:szCs w:val="22"/>
          <w:b w:val="1"/>
          <w:bCs w:val="1"/>
        </w:rPr>
        <w:t xml:space="preserve">Άρθρο 57</w:t>
      </w:r>
    </w:p>
    <w:p>
      <w:pPr>
        <w:jc w:val="both"/>
      </w:pPr>
      <w:r>
        <w:rPr>
          <w:sz w:val="22"/>
          <w:szCs w:val="22"/>
          <w:b w:val="1"/>
          <w:bCs w:val="1"/>
        </w:rPr>
        <w:t xml:space="preserve">Όργανα διοίκησης</w:t>
      </w:r>
    </w:p>
    <w:p>
      <w:pPr>
        <w:jc w:val="both"/>
      </w:pPr>
      <w:r>
        <w:rPr>
          <w:sz w:val="22"/>
          <w:szCs w:val="22"/>
          <w:b w:val="1"/>
          <w:bCs w:val="1"/>
        </w:rPr>
        <w:t xml:space="preserve"> </w:t>
      </w:r>
    </w:p>
    <w:p>
      <w:pPr>
        <w:jc w:val="both"/>
      </w:pPr>
      <w:r>
        <w:rPr>
          <w:sz w:val="22"/>
          <w:szCs w:val="22"/>
        </w:rPr>
        <w:t xml:space="preserve">Όργανα διοίκησης του Φορέα είναι το Διοικητικό Συμβούλιο και ο Γενικός Διευθυντής.</w:t>
      </w:r>
    </w:p>
    <w:p>
      <w:pPr>
        <w:jc w:val="both"/>
      </w:pPr>
      <w:r>
        <w:rPr>
          <w:sz w:val="22"/>
          <w:szCs w:val="22"/>
        </w:rPr>
        <w:t xml:space="preserve"> </w:t>
      </w:r>
    </w:p>
    <w:p>
      <w:pPr>
        <w:jc w:val="both"/>
      </w:pPr>
      <w:r>
        <w:rPr>
          <w:sz w:val="22"/>
          <w:szCs w:val="22"/>
          <w:b w:val="1"/>
          <w:bCs w:val="1"/>
        </w:rPr>
        <w:t xml:space="preserve">Άρθρο 58</w:t>
      </w:r>
    </w:p>
    <w:p>
      <w:pPr>
        <w:jc w:val="both"/>
      </w:pPr>
      <w:r>
        <w:rPr>
          <w:sz w:val="22"/>
          <w:szCs w:val="22"/>
          <w:b w:val="1"/>
          <w:bCs w:val="1"/>
        </w:rPr>
        <w:t xml:space="preserve">Συγκρότηση και θητεία Διοικητικού Συμβουλίου</w:t>
      </w:r>
    </w:p>
    <w:p>
      <w:pPr>
        <w:jc w:val="both"/>
      </w:pPr>
      <w:r>
        <w:rPr>
          <w:sz w:val="22"/>
          <w:szCs w:val="22"/>
          <w:b w:val="1"/>
          <w:bCs w:val="1"/>
        </w:rPr>
        <w:t xml:space="preserve"> </w:t>
      </w:r>
    </w:p>
    <w:p>
      <w:pPr>
        <w:numPr>
          <w:ilvl w:val="0"/>
          <w:numId w:val="57"/>
        </w:numPr>
      </w:pPr>
      <w:r>
        <w:rPr>
          <w:sz w:val="22"/>
          <w:szCs w:val="22"/>
        </w:rPr>
        <w:t xml:space="preserve">Το Διοικητικό Συμβούλιο (Δ.Σ.) του Φορέα αποτελείται από επτά (7) μέλη, τα οποία ορίζονται για θητεία πέντε (5) ετών, με απόφαση του Υπουργού Πολιτισμού, που δημοσιεύεται στην Εφημερίδα της Κυβερνήσεως.</w:t>
      </w:r>
    </w:p>
    <w:p>
      <w:pPr>
        <w:jc w:val="both"/>
      </w:pPr>
      <w:r>
        <w:rPr>
          <w:sz w:val="22"/>
          <w:szCs w:val="22"/>
        </w:rPr>
        <w:t xml:space="preserve">Το Δ.Σ. αποτελείται από:</w:t>
      </w:r>
    </w:p>
    <w:p>
      <w:pPr>
        <w:jc w:val="both"/>
      </w:pPr>
      <w:r>
        <w:rPr>
          <w:sz w:val="22"/>
          <w:szCs w:val="22"/>
        </w:rPr>
        <w:t xml:space="preserve">α) Τον Πρόεδρο και τον Αντιπρόεδρο του Δ.Σ.,</w:t>
      </w:r>
    </w:p>
    <w:p>
      <w:pPr>
        <w:jc w:val="both"/>
      </w:pPr>
      <w:r>
        <w:rPr>
          <w:sz w:val="22"/>
          <w:szCs w:val="22"/>
        </w:rPr>
        <w:t xml:space="preserve">β) τον προϊστάμενο της Γενικής Διεύθυνσης Αρχαιοτήτων και Πολιτιστικής Κληρονομιάς του Υπουργείου Πολιτισμού και</w:t>
      </w:r>
    </w:p>
    <w:p>
      <w:pPr>
        <w:jc w:val="both"/>
      </w:pPr>
      <w:r>
        <w:rPr>
          <w:sz w:val="22"/>
          <w:szCs w:val="22"/>
        </w:rPr>
        <w:t xml:space="preserve">γ) τέσσερα (4) πρόσωπα εγνωσμένου κύρους σε τομείς σχετικούς με το αντικείμενο του Φορέα, που υποδεικνύονται από τον Υπουργό Πολιτισμού.</w:t>
      </w:r>
    </w:p>
    <w:p>
      <w:pPr>
        <w:numPr>
          <w:ilvl w:val="0"/>
          <w:numId w:val="58"/>
        </w:numPr>
      </w:pPr>
      <w:r>
        <w:rPr>
          <w:sz w:val="22"/>
          <w:szCs w:val="22"/>
        </w:rPr>
        <w:t xml:space="preserve">Ο Πρόεδρος και ο Αντιπρόεδρος του Δ.Σ. επιλέγονται σύμφωνα με τις διαδικασίες του άρθρου 16 του ν. 5271/2026 (Α΄ 11), περί επιλογής οργάνων διοίκησης των νομικών προσώπων δημοσίου και ιδιωτικού δικαίου που εποπτεύονται από τον Υπουργό Πολιτισμού.</w:t>
      </w:r>
    </w:p>
    <w:p>
      <w:pPr>
        <w:numPr>
          <w:ilvl w:val="0"/>
          <w:numId w:val="58"/>
        </w:numPr>
      </w:pPr>
      <w:r>
        <w:rPr>
          <w:sz w:val="22"/>
          <w:szCs w:val="22"/>
        </w:rPr>
        <w:t xml:space="preserve">Αν μέλος του Δ.Σ. απουσιάζει από τις συνεδριάσεις ή κωλύεται για οποιονδήποτε λόγο για συνεχές διάστημα μεγαλύτερο των τριών (3) μηνών, εκπίπτει αυτοδικαίως και αντικαθίσταται με απόφαση του Υπουργού Πολιτισμού, με την επιφύλαξη του άρθρου 16 του ν. 5271/2026.</w:t>
      </w:r>
    </w:p>
    <w:p>
      <w:pPr>
        <w:numPr>
          <w:ilvl w:val="0"/>
          <w:numId w:val="58"/>
        </w:numPr>
      </w:pPr>
      <w:r>
        <w:rPr>
          <w:sz w:val="22"/>
          <w:szCs w:val="22"/>
        </w:rPr>
        <w:t xml:space="preserve">Αν για οποιονδήποτε λόγο κενωθούν μία (1) ή περισσότερες θέσεις μελών του Δ.Σ., η πλήρωσή τους γίνεται για τον υπόλοιπο χρόνο της θητείας του Δ.Σ., με την επιφύλαξη του άρθρου 16 του ν. 5271/2026. Μέχρι την πλήρωσή τους, το Δ.Σ. συνέρχεται νόμιμα και αποφασίζει έγκυρα, όχι όμως για διάστημα μεγαλύτερο από τρεις (3) μήνες, και εφόσον ο αριθμός των μελών του δεν έχει μειωθεί κάτω από τέσσερα (4).</w:t>
      </w:r>
    </w:p>
    <w:p>
      <w:pPr>
        <w:numPr>
          <w:ilvl w:val="0"/>
          <w:numId w:val="58"/>
        </w:numPr>
      </w:pPr>
      <w:r>
        <w:rPr>
          <w:sz w:val="22"/>
          <w:szCs w:val="22"/>
        </w:rPr>
        <w:t xml:space="preserve">Η θητεία των μελών του Δ.Σ. παρατείνεται με απόφαση του εποπτεύοντος Υπουργού από τη λήξη της και μέχρι να οριστούν νέα μέλη, όχι όμως για διάστημα μεγαλύτερο από ένα (1) έτος, με την επιφύλαξη του άρθρου 16 του ν. 5271/2026.</w:t>
      </w:r>
    </w:p>
    <w:p>
      <w:pPr>
        <w:jc w:val="both"/>
      </w:pPr>
      <w:r>
        <w:rPr>
          <w:sz w:val="22"/>
          <w:szCs w:val="22"/>
        </w:rPr>
        <w:t xml:space="preserve"> </w:t>
      </w:r>
    </w:p>
    <w:p>
      <w:pPr>
        <w:jc w:val="both"/>
      </w:pPr>
      <w:r>
        <w:rPr>
          <w:sz w:val="22"/>
          <w:szCs w:val="22"/>
          <w:b w:val="1"/>
          <w:bCs w:val="1"/>
        </w:rPr>
        <w:t xml:space="preserve">Άρθρο 59</w:t>
      </w:r>
    </w:p>
    <w:p>
      <w:pPr>
        <w:jc w:val="both"/>
      </w:pPr>
      <w:r>
        <w:rPr>
          <w:sz w:val="22"/>
          <w:szCs w:val="22"/>
          <w:b w:val="1"/>
          <w:bCs w:val="1"/>
        </w:rPr>
        <w:t xml:space="preserve">Κωλύματα και ασυμβίβαστα μελών του Διοικητικού Συμβουλίου</w:t>
      </w:r>
    </w:p>
    <w:p>
      <w:pPr>
        <w:jc w:val="both"/>
      </w:pPr>
      <w:r>
        <w:rPr>
          <w:sz w:val="22"/>
          <w:szCs w:val="22"/>
          <w:b w:val="1"/>
          <w:bCs w:val="1"/>
        </w:rPr>
        <w:t xml:space="preserve"> </w:t>
      </w:r>
    </w:p>
    <w:p>
      <w:pPr>
        <w:numPr>
          <w:ilvl w:val="0"/>
          <w:numId w:val="59"/>
        </w:numPr>
      </w:pPr>
      <w:r>
        <w:rPr>
          <w:sz w:val="22"/>
          <w:szCs w:val="22"/>
        </w:rPr>
        <w:t xml:space="preserve">Δεν δύναται να διοριστεί μέλος του Διοικητικού Συμβουλίου (Δ.Σ.) όποιος έχει κώλυμα διορισμού δημόσιου υπαλλήλου, σύμφωνα με τα άρθρα 5 και 7 έως 9 του Κώδικα Κατάστασης Δημοσίων Πολιτικών Διοικητικών Υπαλλήλων και Υπαλλήλων Ν.Π.Δ.Δ. (ν. 3528/2007, Α’ 26), καθώς και όποιος έχει καταδικασθεί αμετάκλητα για κακούργημα ή παράβαση της νομοθεσίας για την προστασία της πολιτιστικής κληρονομιάς ή για πλαστογραφία, δωροδοκία, κλοπή, υπεξαίρεση ή αποδοχή προϊόντων εγκλήματος ή για παράβαση των άρθρων 4, περί κατασκευής, παραποίησης, έκθεσης, διακίνησης, διάθεσης, μεταβίβασης ή κατοχής έργου τέχνης ή συλλεκτικού αντικειμένου με σκοπό την παραπλάνηση, και 11, περί φθοράς έργων τέχνης και συλλεκτικών αντικειμένων, του ν. 5271/2026 (Α’ 11). Το κώλυμα υπάρχει και για όσο χρόνο εκκρεμεί η ποινική δίωξη για μία από τις παραπάνω πράξεις, καθώς και στις περιπτώσεις κατά τις οποίες έχει απορριφθεί η αναστολή εκτέλεσης της ποινής για αυτές ή έχει παύσει οριστικά η ποινική δίωξη γι’ αυτές λόγω παραγραφής.</w:t>
      </w:r>
    </w:p>
    <w:p>
      <w:pPr>
        <w:numPr>
          <w:ilvl w:val="0"/>
          <w:numId w:val="59"/>
        </w:numPr>
      </w:pPr>
      <w:r>
        <w:rPr>
          <w:sz w:val="22"/>
          <w:szCs w:val="22"/>
        </w:rPr>
        <w:t xml:space="preserve">Τα μέλη του Δ.Σ. δεν επιτρέπεται, επί ποινή ακυρότητας της σχετικής σύμβασης, να συμβάλλονται με τον Φορέα. Η ίδια απαγόρευση ισχύει και για τους συζύγους ή συμβιούντες, κατά την έννοια του ν. 4356/2015 (Α’ 181), των μελών του Δ.Σ., καθώς και για τους συγγενείς αυτών, εξ αίματος μέχρι τρίτου βαθμού και εξ αγχιστείας μέχρι δεύτερου βαθμού.</w:t>
      </w:r>
    </w:p>
    <w:p>
      <w:pPr>
        <w:numPr>
          <w:ilvl w:val="0"/>
          <w:numId w:val="59"/>
        </w:numPr>
      </w:pPr>
      <w:r>
        <w:rPr>
          <w:sz w:val="22"/>
          <w:szCs w:val="22"/>
        </w:rPr>
        <w:t xml:space="preserve">Κάθε σύμβαση που συνάπτεται μεταξύ του Φορέα και νομικών προσώπων των οποίων η διοίκηση ελέγχεται, άμεσα ή έμμεσα, από τα μέλη του Δ.Σ. είναι άκυρη. Ο έλεγχος του πρώτου εδαφίου απορρέει από δικαιώματα, συμβάσεις ή άλλα μέσα, τα οποία, είτε μεμονωμένα είτε από κοινού με άλλα και λαμβανομένων υπόψη των σχετικών πραγματικών ή νομικών συνθηκών, παρέχουν τη δυνατότητα καθοριστικής επιρροής στη δραστηριότητα μιας επιχείρησης, και ιδίως από:</w:t>
      </w:r>
    </w:p>
    <w:p>
      <w:pPr>
        <w:jc w:val="both"/>
      </w:pPr>
      <w:r>
        <w:rPr>
          <w:sz w:val="22"/>
          <w:szCs w:val="22"/>
        </w:rPr>
        <w:t xml:space="preserve">α) δικαιώματα κυριότητας ή επικαρπίας επί του συνόλου ή μέρους των περιουσιακών στοιχείων του νομικού προσώπου και</w:t>
      </w:r>
    </w:p>
    <w:p>
      <w:pPr>
        <w:jc w:val="both"/>
      </w:pPr>
      <w:r>
        <w:rPr>
          <w:sz w:val="22"/>
          <w:szCs w:val="22"/>
        </w:rPr>
        <w:t xml:space="preserve">β) δικαιώματα ή συμβάσεις που παρέχουν δυνατότητα καθοριστικής επιρροής στις αποφάσεις των οργάνων του νομικού προσώπου.</w:t>
      </w:r>
    </w:p>
    <w:p>
      <w:pPr>
        <w:jc w:val="both"/>
      </w:pPr>
      <w:r>
        <w:rPr>
          <w:sz w:val="22"/>
          <w:szCs w:val="22"/>
        </w:rPr>
        <w:t xml:space="preserve">Ο έλεγχος αποκτάται από τα φυσικά ή νομικά πρόσωπα που είναι υποκείμενα αυτών των δικαιωμάτων ή δικαιούχοι από τις συμβάσεις αυτές ή χωρίς να είναι υποκείμενα των δικαιωμάτων ή δικαιούχοι από τις συμβάσεις αυτές, δικαιούνται να ασκούν τα δικαιώματα που απορρέουν από αυτές.</w:t>
      </w:r>
    </w:p>
    <w:p>
      <w:pPr>
        <w:numPr>
          <w:ilvl w:val="0"/>
          <w:numId w:val="60"/>
        </w:numPr>
      </w:pPr>
      <w:r>
        <w:rPr>
          <w:sz w:val="22"/>
          <w:szCs w:val="22"/>
        </w:rPr>
        <w:t xml:space="preserve">Σε κάθε περίπτωση, ως προς τα μέλη του Δ.Σ. εφαρμόζεται συμπληρωματικά το Κεφάλαιο Α’ του Μέρους Δ’ του ν. 4622/2019 (Α’ 133), περί κωλυμάτων, ασυμβιβάστων και κανόνων αποφυγής σύγκρουσης συμφερόντων.</w:t>
      </w:r>
    </w:p>
    <w:p>
      <w:pPr>
        <w:jc w:val="both"/>
      </w:pPr>
      <w:r>
        <w:rPr>
          <w:sz w:val="22"/>
          <w:szCs w:val="22"/>
        </w:rPr>
        <w:t xml:space="preserve"> </w:t>
      </w:r>
    </w:p>
    <w:p>
      <w:pPr>
        <w:jc w:val="both"/>
      </w:pPr>
      <w:r>
        <w:rPr>
          <w:sz w:val="22"/>
          <w:szCs w:val="22"/>
          <w:b w:val="1"/>
          <w:bCs w:val="1"/>
        </w:rPr>
        <w:t xml:space="preserve">Άρθρο 60</w:t>
      </w:r>
    </w:p>
    <w:p>
      <w:pPr>
        <w:jc w:val="both"/>
      </w:pPr>
      <w:r>
        <w:rPr>
          <w:sz w:val="22"/>
          <w:szCs w:val="22"/>
          <w:b w:val="1"/>
          <w:bCs w:val="1"/>
        </w:rPr>
        <w:t xml:space="preserve">Λειτουργία Διοικητικού Συμβουλίου</w:t>
      </w:r>
    </w:p>
    <w:p>
      <w:pPr>
        <w:jc w:val="both"/>
      </w:pPr>
      <w:r>
        <w:rPr>
          <w:sz w:val="22"/>
          <w:szCs w:val="22"/>
        </w:rPr>
        <w:t xml:space="preserve"> </w:t>
      </w:r>
    </w:p>
    <w:p>
      <w:pPr>
        <w:numPr>
          <w:ilvl w:val="0"/>
          <w:numId w:val="61"/>
        </w:numPr>
      </w:pPr>
      <w:r>
        <w:rPr>
          <w:sz w:val="22"/>
          <w:szCs w:val="22"/>
        </w:rPr>
        <w:t xml:space="preserve">Το Διοικητικό Συμβούλιο (Δ.Σ.) συνεδριάζει είτε με φυσική παρουσία στην έδρα του Φορέα είτε με χρήση ηλεκτρονικών μέσων (τηλεδιάσκεψη), κατόπιν έγγραφης πρόσκλησης του Προέδρου. Στην πρόσκληση ορίζονται η ημέρα, η ώρα, καθώς και τα θέματα της ημερήσιας διάταξης. Οι συνεδριάσεις διενεργούνται τακτικά μία (1) φορά τον μήνα και εκτάκτως, αν προκύψουν θέματα προς συζήτηση. Η σύγκληση του Δ.Σ. σε έκτακτη συνεδρίαση είναι υποχρεωτική, εφόσον τη ζητήσουν τρία (3) τουλάχιστον μέλη του Δ.Σ. ή ο Γενικός Διευθυντής με αίτημα προς τον Πρόεδρο του Δ.Σ.</w:t>
      </w:r>
    </w:p>
    <w:p>
      <w:pPr>
        <w:numPr>
          <w:ilvl w:val="0"/>
          <w:numId w:val="61"/>
        </w:numPr>
      </w:pPr>
      <w:r>
        <w:rPr>
          <w:sz w:val="22"/>
          <w:szCs w:val="22"/>
        </w:rPr>
        <w:t xml:space="preserve">Χρέη εισηγητή στο Δ.Σ. ασκεί ο Γενικός Διευθυντής. Σε ειδικές περιπτώσεις, ο Πρόεδρος δύναται να εισηγείται ο ίδιος, μόνος ή με τη σύμπραξη μέλους ή μελών του Δ.Σ., ή να ορίζει ως εισηγητή μέλος του Δ.Σ.</w:t>
      </w:r>
    </w:p>
    <w:p>
      <w:pPr>
        <w:numPr>
          <w:ilvl w:val="0"/>
          <w:numId w:val="61"/>
        </w:numPr>
      </w:pPr>
      <w:r>
        <w:rPr>
          <w:sz w:val="22"/>
          <w:szCs w:val="22"/>
        </w:rPr>
        <w:t xml:space="preserve">Στις συνεδριάσεις του Δ.Σ. δύναται να παρίστανται, χωρίς δικαίωμα ψήφου, κατόπιν πρόσκλησης του Προέδρου, ο νομικός σύμβουλος του Φορέα, καθώς και τρίτα πρόσωπα για την παροχή πληροφοριών ή την προσκόμιση στοιχείων.</w:t>
      </w:r>
    </w:p>
    <w:p>
      <w:pPr>
        <w:numPr>
          <w:ilvl w:val="0"/>
          <w:numId w:val="61"/>
        </w:numPr>
      </w:pPr>
      <w:r>
        <w:rPr>
          <w:sz w:val="22"/>
          <w:szCs w:val="22"/>
        </w:rPr>
        <w:t xml:space="preserve">Οι αποφάσεις του Δ.Σ. λαμβάνονται με φανερή ψηφοφορία και με απόλυτη πλειοψηφία των παρόντων μελών.</w:t>
      </w:r>
    </w:p>
    <w:p>
      <w:pPr>
        <w:numPr>
          <w:ilvl w:val="0"/>
          <w:numId w:val="61"/>
        </w:numPr>
      </w:pPr>
      <w:r>
        <w:rPr>
          <w:sz w:val="22"/>
          <w:szCs w:val="22"/>
        </w:rPr>
        <w:t xml:space="preserve">Για τις συζητήσεις και αποφάσεις του Δ.Σ. τηρούνται πρακτικά που καταχωρίζονται σε ειδικό βιβλίο. Τα πρακτικά υπογράφονται από τον Πρόεδρο, τα παρόντα στη συνεδρίαση μέλη και τον γραμματέα. Στα πρακτικά καταχωρίζονται και οι γνώμες της μειοψηφίας.</w:t>
      </w:r>
    </w:p>
    <w:p>
      <w:pPr>
        <w:numPr>
          <w:ilvl w:val="0"/>
          <w:numId w:val="61"/>
        </w:numPr>
      </w:pPr>
      <w:r>
        <w:rPr>
          <w:sz w:val="22"/>
          <w:szCs w:val="22"/>
        </w:rPr>
        <w:t xml:space="preserve">Αντίγραφα ή αποσπάσματα των πρακτικών υπογράφονται από τον Πρόεδρο και τον γραμματέα και χορηγούνται από τον τελευταίο, κατόπιν απόφασης του Δ.Σ., μετά από αίτηση του ενδιαφερομένου.</w:t>
      </w:r>
    </w:p>
    <w:p>
      <w:pPr>
        <w:numPr>
          <w:ilvl w:val="0"/>
          <w:numId w:val="61"/>
        </w:numPr>
      </w:pPr>
      <w:r>
        <w:rPr>
          <w:sz w:val="22"/>
          <w:szCs w:val="22"/>
        </w:rPr>
        <w:t xml:space="preserve">Κατά τα λοιπά εφαρμόζεται ο Κώδικας Διοικητικής Διαδικασίας (ν. 2690/1999, Α’ 45).</w:t>
      </w:r>
    </w:p>
    <w:p>
      <w:pPr>
        <w:jc w:val="both"/>
      </w:pPr>
      <w:r>
        <w:rPr>
          <w:sz w:val="22"/>
          <w:szCs w:val="22"/>
        </w:rPr>
        <w:t xml:space="preserve"> </w:t>
      </w:r>
    </w:p>
    <w:p>
      <w:pPr>
        <w:jc w:val="both"/>
      </w:pPr>
      <w:r>
        <w:rPr>
          <w:sz w:val="22"/>
          <w:szCs w:val="22"/>
          <w:b w:val="1"/>
          <w:bCs w:val="1"/>
        </w:rPr>
        <w:t xml:space="preserve">Άρθρο 61</w:t>
      </w:r>
    </w:p>
    <w:p>
      <w:pPr>
        <w:jc w:val="both"/>
      </w:pPr>
      <w:r>
        <w:rPr>
          <w:sz w:val="22"/>
          <w:szCs w:val="22"/>
          <w:b w:val="1"/>
          <w:bCs w:val="1"/>
        </w:rPr>
        <w:t xml:space="preserve">Αρμοδιότητες Διοικητικού Συμβουλίου</w:t>
      </w:r>
    </w:p>
    <w:p>
      <w:pPr>
        <w:jc w:val="both"/>
      </w:pPr>
      <w:r>
        <w:rPr>
          <w:sz w:val="22"/>
          <w:szCs w:val="22"/>
          <w:b w:val="1"/>
          <w:bCs w:val="1"/>
        </w:rPr>
        <w:t xml:space="preserve"> </w:t>
      </w:r>
    </w:p>
    <w:p>
      <w:pPr>
        <w:numPr>
          <w:ilvl w:val="0"/>
          <w:numId w:val="62"/>
        </w:numPr>
      </w:pPr>
      <w:r>
        <w:rPr>
          <w:sz w:val="22"/>
          <w:szCs w:val="22"/>
        </w:rPr>
        <w:t xml:space="preserve">Το Διοικητικό Συμβούλιο (Δ.Σ.) είναι αρμόδιο για την άσκηση της πολιτικής του Φορέα και τη διαμόρφωση της στρατηγικής του στο πλαίσιο του παρόντος νόμου και του Οργανισμού Λειτουργίας του.</w:t>
      </w:r>
    </w:p>
    <w:p>
      <w:pPr>
        <w:numPr>
          <w:ilvl w:val="0"/>
          <w:numId w:val="62"/>
        </w:numPr>
      </w:pPr>
      <w:r>
        <w:rPr>
          <w:sz w:val="22"/>
          <w:szCs w:val="22"/>
        </w:rPr>
        <w:t xml:space="preserve">Το Δ.Σ. αποφασίζει για κάθε θέμα σχετικό με τη διοίκηση και τη λειτουργία του Φορέα και ιδίως για:</w:t>
      </w:r>
      <w:br/>
      <w:r>
        <w:rPr>
          <w:sz w:val="22"/>
          <w:szCs w:val="22"/>
        </w:rPr>
        <w:t xml:space="preserve">α) τη σύναψη προγραμματικών συμβάσεων, μνημονίων συνεργασίας και κάθε σύμβασης απαραίτητης για την υλοποίηση των σκοπών του,</w:t>
      </w:r>
    </w:p>
    <w:p>
      <w:pPr>
        <w:jc w:val="both"/>
      </w:pPr>
      <w:r>
        <w:rPr>
          <w:sz w:val="22"/>
          <w:szCs w:val="22"/>
        </w:rPr>
        <w:t xml:space="preserve">β) την αποδοχή δωρεών, χορηγιών, κληρονομιών, κληροδοσιών και κάθε είδους τακτικών ή έκτακτων χρηματοδοτήσεων και εισφορών,</w:t>
      </w:r>
    </w:p>
    <w:p>
      <w:pPr>
        <w:jc w:val="both"/>
      </w:pPr>
      <w:r>
        <w:rPr>
          <w:sz w:val="22"/>
          <w:szCs w:val="22"/>
        </w:rPr>
        <w:t xml:space="preserve">γ) την έγκριση διενέργειας και προβολής επιστημονικών προγραμμάτων, εκθέσεων, εκδηλώσεων, ημερών ελεύθερης επίσκεψης του κοινού, προγραμμάτων επιδοτήσεων, χρηματοδοτήσεων και άλλων τρόπων και μέσων προώθησης της οικονομικής ανάπτυξης του Φορέα,</w:t>
      </w:r>
    </w:p>
    <w:p>
      <w:pPr>
        <w:jc w:val="both"/>
      </w:pPr>
      <w:r>
        <w:rPr>
          <w:sz w:val="22"/>
          <w:szCs w:val="22"/>
        </w:rPr>
        <w:t xml:space="preserve">δ) την έγκριση του ετήσιου προϋπολογισμού, του ισολογισμού, του απολογισμού και της έκθεσης πεπραγμένων, σύμφωνα με τον ν. 4270/2014 (Α’ 143), τα οποία υποβάλλει για έγκριση στον Υπουργό Πολιτισμού μέσω των αρμόδιων οικονομικών υπηρεσιών του Υπουργείου Πολιτισμού,</w:t>
      </w:r>
    </w:p>
    <w:p>
      <w:pPr>
        <w:jc w:val="both"/>
      </w:pPr>
      <w:r>
        <w:rPr>
          <w:sz w:val="22"/>
          <w:szCs w:val="22"/>
        </w:rPr>
        <w:t xml:space="preserve">ε) τη ρύθμιση θεμάτων του προσωπικού και την άσκηση πειθαρχικής εξουσίας επ’ αυτού, σύμφωνα με τον Κώδικα Κατάστασης Δημοσίων Πολιτικών Διοικητικών Υπαλλήλων και Υπαλλήλων Ν.Π.Δ.Δ. (ν. 3528/2007, Α’ 26),</w:t>
      </w:r>
    </w:p>
    <w:p>
      <w:pPr>
        <w:jc w:val="both"/>
      </w:pPr>
      <w:r>
        <w:rPr>
          <w:sz w:val="22"/>
          <w:szCs w:val="22"/>
        </w:rPr>
        <w:t xml:space="preserve">στ) τη συγκρότηση μόνιμων και έκτακτων επιτροπών και ομάδων εργασίας για την εξέταση και την έρευνα θεμάτων ειδικού ενδιαφέροντος, τα οποία σχετίζονται με τους σκοπούς και τις δράσεις του Φορέα, υπό την προεδρία ή την εποπτεία μελών του Δ.Σ. ή του Γενικού Διευθυντή, στις οποίες μπορούν να συμμετέχουν και πρόσωπα που δεν είναι μέλη του Δ.Σ. ή δεν ανήκουν στο προσωπικό του Φορέα,</w:t>
      </w:r>
    </w:p>
    <w:p>
      <w:pPr>
        <w:jc w:val="both"/>
      </w:pPr>
      <w:r>
        <w:rPr>
          <w:sz w:val="22"/>
          <w:szCs w:val="22"/>
        </w:rPr>
        <w:t xml:space="preserve">ζ) τη διενέργεια ελέγχου νομιμότητας και απολογισμού του έργου του Γενικού Διευθυντή, καθώς και ελέγχου και αξιολόγησης του Φορέα στο τέλος κάθε διαχειριστικής χρήσης,</w:t>
      </w:r>
    </w:p>
    <w:p>
      <w:pPr>
        <w:jc w:val="both"/>
      </w:pPr>
      <w:r>
        <w:rPr>
          <w:sz w:val="22"/>
          <w:szCs w:val="22"/>
        </w:rPr>
        <w:t xml:space="preserve">η) την εισήγηση για την έκδοση του προεδρικού διατάγματος του Οργανισμού Λειτουργίας και του Γενικού Κανονισμού Λειτουργίας του Φορέα και</w:t>
      </w:r>
    </w:p>
    <w:p>
      <w:pPr>
        <w:jc w:val="both"/>
      </w:pPr>
      <w:r>
        <w:rPr>
          <w:sz w:val="22"/>
          <w:szCs w:val="22"/>
        </w:rPr>
        <w:t xml:space="preserve">θ) την κατάρτιση Σχεδίου Δράσης για τη βελτίωση της πολιτικής για τη διαχείριση των επισκέψιμων χώρων ενάλιας πολιτιστικής κληρονομιάς, σύμφωνα με το άρθρο 69.</w:t>
      </w:r>
    </w:p>
    <w:p>
      <w:pPr>
        <w:numPr>
          <w:ilvl w:val="0"/>
          <w:numId w:val="63"/>
        </w:numPr>
      </w:pPr>
      <w:r>
        <w:rPr>
          <w:sz w:val="22"/>
          <w:szCs w:val="22"/>
        </w:rPr>
        <w:t xml:space="preserve">Το Δ.Σ. μπορεί να αναθέτει σε οποιοδήποτε από τα μέλη του ειδικά καθήκοντα σχετικά με τις αρμοδιότητές του.</w:t>
      </w:r>
    </w:p>
    <w:p>
      <w:pPr>
        <w:jc w:val="both"/>
      </w:pPr>
      <w:r>
        <w:rPr>
          <w:sz w:val="22"/>
          <w:szCs w:val="22"/>
        </w:rPr>
        <w:t xml:space="preserve"> </w:t>
      </w:r>
    </w:p>
    <w:p>
      <w:pPr>
        <w:jc w:val="both"/>
      </w:pPr>
      <w:r>
        <w:rPr>
          <w:sz w:val="22"/>
          <w:szCs w:val="22"/>
          <w:b w:val="1"/>
          <w:bCs w:val="1"/>
        </w:rPr>
        <w:t xml:space="preserve">Άρθρο 62</w:t>
      </w:r>
    </w:p>
    <w:p>
      <w:pPr>
        <w:jc w:val="both"/>
      </w:pPr>
      <w:r>
        <w:rPr>
          <w:sz w:val="22"/>
          <w:szCs w:val="22"/>
          <w:b w:val="1"/>
          <w:bCs w:val="1"/>
        </w:rPr>
        <w:t xml:space="preserve">Έκπτωση μέλους Διοικητικού Συμβουλίου</w:t>
      </w:r>
    </w:p>
    <w:p>
      <w:pPr>
        <w:jc w:val="both"/>
      </w:pPr>
      <w:r>
        <w:rPr>
          <w:sz w:val="22"/>
          <w:szCs w:val="22"/>
        </w:rPr>
        <w:t xml:space="preserve"> </w:t>
      </w:r>
    </w:p>
    <w:p>
      <w:pPr>
        <w:jc w:val="both"/>
      </w:pPr>
      <w:r>
        <w:rPr>
          <w:sz w:val="22"/>
          <w:szCs w:val="22"/>
        </w:rPr>
        <w:t xml:space="preserve">Από την ιδιότητα του μέλους του Διοικητικού Συμβουλίου εκπίπτει το μέλος:</w:t>
      </w:r>
    </w:p>
    <w:p>
      <w:pPr>
        <w:jc w:val="both"/>
      </w:pPr>
      <w:r>
        <w:rPr>
          <w:sz w:val="22"/>
          <w:szCs w:val="22"/>
        </w:rPr>
        <w:t xml:space="preserve">α) στο πρόσωπο του οποίου συντρέχουν οι προϋποθέσεις έκπτωσης δημόσιου υπαλλήλου, σύμφωνα με το άρθρο 149 του Κώδικα Κατάστασης Δημοσίων Πολιτικών Διοικητικών Υπαλλήλων και Υπαλλήλων Ν.Π.Δ.Δ. (ν. 3528/2007, Α’ 26),</w:t>
      </w:r>
    </w:p>
    <w:p>
      <w:pPr>
        <w:jc w:val="both"/>
      </w:pPr>
      <w:r>
        <w:rPr>
          <w:sz w:val="22"/>
          <w:szCs w:val="22"/>
        </w:rPr>
        <w:t xml:space="preserve">β) που καταδικάζεται αμετάκλητα για αδίκημα του Τμήματος ΙΧ του Κώδικα νομοθεσίας για την προστασία των αρχαιοτήτων και εν γένει της πολιτιστικής κληρονομιάς (ν. 4858/2021, Α’ 220),</w:t>
      </w:r>
    </w:p>
    <w:p>
      <w:pPr>
        <w:jc w:val="both"/>
      </w:pPr>
      <w:r>
        <w:rPr>
          <w:sz w:val="22"/>
          <w:szCs w:val="22"/>
        </w:rPr>
        <w:t xml:space="preserve">γ) που καταδικάζεται αμετάκλητα για πλαστογραφία, δωροδοκία, κλοπή, υπεξαίρεση ή αποδοχή προϊόντων εγκλήματος ή</w:t>
      </w:r>
    </w:p>
    <w:p>
      <w:pPr>
        <w:jc w:val="both"/>
      </w:pPr>
      <w:r>
        <w:rPr>
          <w:sz w:val="22"/>
          <w:szCs w:val="22"/>
        </w:rPr>
        <w:t xml:space="preserve">δ) που καταδικάζεται αμετάκλητα για παράβαση των άρθρων 4, περί κατασκευής, παραποίησης, έκθεσης, διακίνησης, διάθεσης, μεταβίβασης ή κατοχής έργου τέχνης ή συλλεκτικού αντικειμένου με σκοπό την παραπλάνηση, και 11, περί φθοράς έργων τέχνης και συλλεκτικών αντικειμένων, του ν. 5271/2026 (Α’ 11).</w:t>
      </w:r>
    </w:p>
    <w:p>
      <w:pPr>
        <w:jc w:val="both"/>
      </w:pPr>
      <w:r>
        <w:rPr>
          <w:sz w:val="22"/>
          <w:szCs w:val="22"/>
        </w:rPr>
        <w:t xml:space="preserve"> </w:t>
      </w:r>
    </w:p>
    <w:p>
      <w:pPr>
        <w:jc w:val="both"/>
      </w:pPr>
      <w:r>
        <w:rPr>
          <w:sz w:val="22"/>
          <w:szCs w:val="22"/>
        </w:rPr>
        <w:t xml:space="preserve"> </w:t>
      </w:r>
    </w:p>
    <w:p>
      <w:pPr>
        <w:jc w:val="both"/>
      </w:pPr>
      <w:r>
        <w:rPr>
          <w:sz w:val="22"/>
          <w:szCs w:val="22"/>
          <w:b w:val="1"/>
          <w:bCs w:val="1"/>
        </w:rPr>
        <w:t xml:space="preserve">Άρθρο 63</w:t>
      </w:r>
    </w:p>
    <w:p>
      <w:pPr>
        <w:jc w:val="both"/>
      </w:pPr>
      <w:r>
        <w:rPr>
          <w:sz w:val="22"/>
          <w:szCs w:val="22"/>
          <w:b w:val="1"/>
          <w:bCs w:val="1"/>
        </w:rPr>
        <w:t xml:space="preserve">Πρόεδρος του Διοικητικού Συμβουλίου</w:t>
      </w:r>
    </w:p>
    <w:p>
      <w:pPr>
        <w:jc w:val="both"/>
      </w:pPr>
      <w:r>
        <w:rPr>
          <w:sz w:val="22"/>
          <w:szCs w:val="22"/>
        </w:rPr>
        <w:t xml:space="preserve"> </w:t>
      </w:r>
    </w:p>
    <w:p>
      <w:pPr>
        <w:numPr>
          <w:ilvl w:val="0"/>
          <w:numId w:val="64"/>
        </w:numPr>
      </w:pPr>
      <w:r>
        <w:rPr>
          <w:sz w:val="22"/>
          <w:szCs w:val="22"/>
        </w:rPr>
        <w:t xml:space="preserve">Ο Πρόεδρος του Διοικητικού Συμβουλίου (Δ.Σ.):</w:t>
      </w:r>
    </w:p>
    <w:p>
      <w:pPr>
        <w:jc w:val="both"/>
      </w:pPr>
      <w:r>
        <w:rPr>
          <w:sz w:val="22"/>
          <w:szCs w:val="22"/>
        </w:rPr>
        <w:t xml:space="preserve">α) καταρτίζει την ημερήσια διάταξη του Δ.Σ.,</w:t>
      </w:r>
    </w:p>
    <w:p>
      <w:pPr>
        <w:jc w:val="both"/>
      </w:pPr>
      <w:r>
        <w:rPr>
          <w:sz w:val="22"/>
          <w:szCs w:val="22"/>
        </w:rPr>
        <w:t xml:space="preserve">β) συγκαλεί το Δ.Σ.,</w:t>
      </w:r>
    </w:p>
    <w:p>
      <w:pPr>
        <w:jc w:val="both"/>
      </w:pPr>
      <w:r>
        <w:rPr>
          <w:sz w:val="22"/>
          <w:szCs w:val="22"/>
        </w:rPr>
        <w:t xml:space="preserve">γ) προεδρεύει των συνεδριάσεων του Δ.Σ. και διευθύνει τις εργασίες του,</w:t>
      </w:r>
    </w:p>
    <w:p>
      <w:pPr>
        <w:jc w:val="both"/>
      </w:pPr>
      <w:r>
        <w:rPr>
          <w:sz w:val="22"/>
          <w:szCs w:val="22"/>
        </w:rPr>
        <w:t xml:space="preserve">δ) μεριμνά για την εύρυθμη λειτουργία του Δ.Σ.,</w:t>
      </w:r>
    </w:p>
    <w:p>
      <w:pPr>
        <w:jc w:val="both"/>
      </w:pPr>
      <w:r>
        <w:rPr>
          <w:sz w:val="22"/>
          <w:szCs w:val="22"/>
        </w:rPr>
        <w:t xml:space="preserve">ε) εκπροσωπεί τον Φορέα δικαστικά και εξώδικα και</w:t>
      </w:r>
    </w:p>
    <w:p>
      <w:pPr>
        <w:jc w:val="both"/>
      </w:pPr>
      <w:r>
        <w:rPr>
          <w:sz w:val="22"/>
          <w:szCs w:val="22"/>
        </w:rPr>
        <w:t xml:space="preserve">στ) ασκεί κάθε άλλη αρμοδιότητα που του ανατίθεται με απόφαση του Δ.Σ.</w:t>
      </w:r>
    </w:p>
    <w:p>
      <w:pPr>
        <w:numPr>
          <w:ilvl w:val="0"/>
          <w:numId w:val="65"/>
        </w:numPr>
      </w:pPr>
      <w:r>
        <w:rPr>
          <w:sz w:val="22"/>
          <w:szCs w:val="22"/>
        </w:rPr>
        <w:t xml:space="preserve">Ο Πρόεδρος του Δ.Σ. μπορεί, μετά από απόφαση του Δ.Σ., να αναθέτει μέρος της εκπροσώπησης του Φορέα σε μέλος του Δ.Σ. ή στον Γενικό Διευθυντή ή στους προϊσταμένους των Διευθύνσεων του Φορέα.</w:t>
      </w:r>
    </w:p>
    <w:p>
      <w:pPr>
        <w:numPr>
          <w:ilvl w:val="0"/>
          <w:numId w:val="65"/>
        </w:numPr>
      </w:pPr>
      <w:r>
        <w:rPr>
          <w:sz w:val="22"/>
          <w:szCs w:val="22"/>
        </w:rPr>
        <w:t xml:space="preserve">Σε περίπτωση απουσίας ή κωλύματος, ο Πρόεδρος του Δ.Σ. αναπληρώνεται από τον Αντιπρόεδρο και, σε περίπτωση απουσίας ή κωλύματος και αυτού, από μέλος του Δ.Σ. που ορίζεται με απόφαση του Δ.Σ. στην αρχή κάθε θητείας.</w:t>
      </w:r>
    </w:p>
    <w:p>
      <w:pPr>
        <w:jc w:val="both"/>
      </w:pPr>
      <w:r>
        <w:rPr>
          <w:sz w:val="22"/>
          <w:szCs w:val="22"/>
        </w:rPr>
        <w:t xml:space="preserve"> </w:t>
      </w:r>
    </w:p>
    <w:p>
      <w:pPr>
        <w:jc w:val="both"/>
      </w:pPr>
      <w:r>
        <w:rPr>
          <w:sz w:val="22"/>
          <w:szCs w:val="22"/>
          <w:b w:val="1"/>
          <w:bCs w:val="1"/>
        </w:rPr>
        <w:t xml:space="preserve">Άρθρο 64</w:t>
      </w:r>
    </w:p>
    <w:p>
      <w:pPr>
        <w:jc w:val="both"/>
      </w:pPr>
      <w:r>
        <w:rPr>
          <w:sz w:val="22"/>
          <w:szCs w:val="22"/>
          <w:b w:val="1"/>
          <w:bCs w:val="1"/>
        </w:rPr>
        <w:t xml:space="preserve">Γενικός Διευθυντής</w:t>
      </w:r>
    </w:p>
    <w:p>
      <w:pPr>
        <w:jc w:val="both"/>
      </w:pPr>
      <w:r>
        <w:rPr>
          <w:sz w:val="22"/>
          <w:szCs w:val="22"/>
          <w:b w:val="1"/>
          <w:bCs w:val="1"/>
        </w:rPr>
        <w:t xml:space="preserve"> </w:t>
      </w:r>
    </w:p>
    <w:p>
      <w:pPr>
        <w:numPr>
          <w:ilvl w:val="0"/>
          <w:numId w:val="66"/>
        </w:numPr>
      </w:pPr>
      <w:r>
        <w:rPr>
          <w:sz w:val="22"/>
          <w:szCs w:val="22"/>
        </w:rPr>
        <w:t xml:space="preserve">Στον Φορέα συστήνεται μία (1) θέση Γενικού Διευθυντή. Ο Γενικός Διευθυντής διορίζεται με απόφαση του Υπουργού Πολιτισμού, που δημοσιεύεται στην Εφημερίδα της Κυβερνήσεως, για θητεία πέντε (5) ετών. Με όμοια απόφαση επιτρέπεται η ανανέωση της θητείας του Γενικού Διευθυντή έως δύο (2) επιπλέον θητείες. Για τον διορισμό του Γενικού Διευθυντή εφαρμόζεται η διαδικασία της παρ. 8 του άρθρου 51 του ν. 4622/2019 (Α’ 133).</w:t>
      </w:r>
    </w:p>
    <w:p>
      <w:pPr>
        <w:numPr>
          <w:ilvl w:val="0"/>
          <w:numId w:val="66"/>
        </w:numPr>
      </w:pPr>
      <w:r>
        <w:rPr>
          <w:sz w:val="22"/>
          <w:szCs w:val="22"/>
        </w:rPr>
        <w:t xml:space="preserve">Η θητεία του Γενικού Διευθυντή παρατείνεται από τη λήξη της και μέχρι τον διορισμό νέου Γενικού Διευθυντή, σύμφωνα με την παρ. 1.</w:t>
      </w:r>
    </w:p>
    <w:p>
      <w:pPr>
        <w:numPr>
          <w:ilvl w:val="0"/>
          <w:numId w:val="66"/>
        </w:numPr>
      </w:pPr>
      <w:r>
        <w:rPr>
          <w:sz w:val="22"/>
          <w:szCs w:val="22"/>
        </w:rPr>
        <w:t xml:space="preserve">Αν, για οποιονδήποτε λόγο, ο Γενικός Διευθυντής εκλείψει πριν από τη λήξη της θητείας του, εκτελεί προσωρινά χρέη Γενικού Διευθυντή ο προϊστάμενος της Διεύθυνσης Εναλίων Αρχαιολογικών Χώρων και Μνημείων του άρθρου 70 έως τον διορισμό του νέου Γενικού Διευθυντή, ο οποίος διορίζεται για το υπόλοιπο της θητείας του Γενικού Διευθυντή που εξέλιπε.</w:t>
      </w:r>
    </w:p>
    <w:p>
      <w:pPr>
        <w:jc w:val="both"/>
      </w:pPr>
      <w:r>
        <w:rPr>
          <w:sz w:val="22"/>
          <w:szCs w:val="22"/>
        </w:rPr>
        <w:t xml:space="preserve"> </w:t>
      </w:r>
    </w:p>
    <w:p>
      <w:pPr>
        <w:jc w:val="both"/>
      </w:pPr>
      <w:r>
        <w:rPr>
          <w:sz w:val="22"/>
          <w:szCs w:val="22"/>
          <w:b w:val="1"/>
          <w:bCs w:val="1"/>
        </w:rPr>
        <w:t xml:space="preserve">Άρθρο 65</w:t>
      </w:r>
    </w:p>
    <w:p>
      <w:pPr>
        <w:jc w:val="both"/>
      </w:pPr>
      <w:r>
        <w:rPr>
          <w:sz w:val="22"/>
          <w:szCs w:val="22"/>
          <w:b w:val="1"/>
          <w:bCs w:val="1"/>
        </w:rPr>
        <w:t xml:space="preserve">Προσόντα Γενικού Διευθυντή</w:t>
      </w:r>
    </w:p>
    <w:p>
      <w:pPr>
        <w:jc w:val="both"/>
      </w:pPr>
      <w:r>
        <w:rPr>
          <w:sz w:val="22"/>
          <w:szCs w:val="22"/>
          <w:b w:val="1"/>
          <w:bCs w:val="1"/>
        </w:rPr>
        <w:t xml:space="preserve"> </w:t>
      </w:r>
    </w:p>
    <w:p>
      <w:pPr>
        <w:numPr>
          <w:ilvl w:val="0"/>
          <w:numId w:val="67"/>
        </w:numPr>
      </w:pPr>
      <w:r>
        <w:rPr>
          <w:sz w:val="22"/>
          <w:szCs w:val="22"/>
        </w:rPr>
        <w:t xml:space="preserve">Ο Γενικός Διευθυντής του Φορέα πρέπει να διαθέτει τα εξής προσόντα:</w:t>
      </w:r>
    </w:p>
    <w:p>
      <w:pPr>
        <w:jc w:val="both"/>
      </w:pPr>
      <w:r>
        <w:rPr>
          <w:sz w:val="22"/>
          <w:szCs w:val="22"/>
        </w:rPr>
        <w:t xml:space="preserve">α) πτυχίο ιδρύματος ανώτατης εκπαίδευσης πανεπιστημιακού τομέα της ημεδαπής ή της αλλοδαπής, αναγνωρισμένο με πράξη του αρμόδιου οργάνου ή με αναγνώριση επαγγελματικής ισοδυναμίας από το Συμβούλιο Αναγνώρισης Επαγγελματικών Προσόντων (Σ.Α.Ε.Π.) ή το Αυτοτελές Τμήμα Εφαρμογής της Ευρωπαϊκής Νομοθεσίας (Α.Τ.Ε.Ε.Ν.), σύμφωνα με το π.δ. 38/2010 (Α’ 78), στην αρχαιολογία, στις νομικές ή οικονομικές σπουδές, στις σπουδές οργάνωσης και διοίκησης επιχειρήσεων ή πολιτιστικής διαχείρισης ή σε άλλη επιστήμη συναφή προς τους σκοπούς, τον χαρακτήρα και τη λειτουργία του Φορέα,</w:t>
      </w:r>
    </w:p>
    <w:p>
      <w:pPr>
        <w:jc w:val="both"/>
      </w:pPr>
      <w:r>
        <w:rPr>
          <w:sz w:val="22"/>
          <w:szCs w:val="22"/>
        </w:rPr>
        <w:t xml:space="preserve">β) διδακτορικό δίπλωμα Α.Ε.Ι. ή αυτοτελή μεταπτυχιακό τίτλο σπουδών διάρκειας τουλάχιστον ενός (1) ακαδημαϊκού έτους Α.Ε.Ι., πανεπιστημιακού ή τεχνολογικού τομέα της ημεδαπής ή της αλλοδαπής, που έχει αναγνωριστεί σύμφωνα με το άρθρο 7 του π.δ. 85/2022 (Α’ 232), στις οικονομικές σπουδές, στις σπουδές οργάνωσης και διοίκησης επιχειρήσεων ή πολιτιστικής διαχείρισης ή σε άλλη επιστήμη συναφή προς τους σκοπούς, τον χαρακτήρα και τη λειτουργία του Φορέα,</w:t>
      </w:r>
    </w:p>
    <w:p>
      <w:pPr>
        <w:jc w:val="both"/>
      </w:pPr>
      <w:r>
        <w:rPr>
          <w:sz w:val="22"/>
          <w:szCs w:val="22"/>
        </w:rPr>
        <w:t xml:space="preserve">γ) τεκμηριωμένα άριστη γνώση της ελληνικής και πολύ καλή γνώση της αγγλικής ή άλλης γλώσσας κράτους μέλους της Ευρωπαϊκής Ένωσης, σύμφωνα με το άρθρο 10 του π.δ. 85/2022,</w:t>
      </w:r>
    </w:p>
    <w:p>
      <w:pPr>
        <w:jc w:val="both"/>
      </w:pPr>
      <w:r>
        <w:rPr>
          <w:sz w:val="22"/>
          <w:szCs w:val="22"/>
        </w:rPr>
        <w:t xml:space="preserve">δ) δημοσιευμένες έγκριτες επιστημονικές εργασίες στην Ελλάδα ή διεθνώς και</w:t>
      </w:r>
    </w:p>
    <w:p>
      <w:pPr>
        <w:jc w:val="both"/>
      </w:pPr>
      <w:r>
        <w:rPr>
          <w:sz w:val="22"/>
          <w:szCs w:val="22"/>
        </w:rPr>
        <w:t xml:space="preserve">ε) πενταετή τουλάχιστον ευδόκιμη οργανωτική και διοικητική εμπειρία σε θέση ευθύνης.</w:t>
      </w:r>
    </w:p>
    <w:p>
      <w:pPr>
        <w:numPr>
          <w:ilvl w:val="0"/>
          <w:numId w:val="68"/>
        </w:numPr>
      </w:pPr>
      <w:r>
        <w:rPr>
          <w:sz w:val="22"/>
          <w:szCs w:val="22"/>
        </w:rPr>
        <w:t xml:space="preserve">Ως Γενικός Διευθυντής του Φορέα μπορεί να ορίζεται και υπάλληλος των φορέων της Γενικής Κυβέρνησης, όπως αυτή ορίζεται στην περ. β) της παρ. 1 του άρθρου 14 του ν. 4270/2014 (Α’ 143), εφόσον έχει τα προσόντα της παρ. 1 του παρόντος. Στην περίπτωση αυτή, θεωρείται αυτοδίκαια αποσπασμένος στη θέση του Γενικού Διευθυντή για χρονικό διάστημα ίσο με τη διάρκεια της θητείας του και των τυχόν ανανεώσεών της ή μέχρι την τοποθέτηση νέου Γενικού Διευθυντή. Μετά τη λήξη της θητείας του, επανέρχεται αυτοδικαίως στην υπηρεσία του. Ο χρόνος υπηρεσίας που διανύεται στη θέση αυτή λογίζεται, για όλες τις συνέπειες, ως πραγματική υπηρεσία στην οργανική θέση του υπαλλήλου.</w:t>
      </w:r>
    </w:p>
    <w:p>
      <w:pPr>
        <w:jc w:val="both"/>
      </w:pPr>
      <w:r>
        <w:rPr>
          <w:sz w:val="22"/>
          <w:szCs w:val="22"/>
        </w:rPr>
        <w:t xml:space="preserve"> </w:t>
      </w:r>
    </w:p>
    <w:p>
      <w:pPr>
        <w:jc w:val="both"/>
      </w:pPr>
      <w:r>
        <w:rPr>
          <w:sz w:val="22"/>
          <w:szCs w:val="22"/>
          <w:b w:val="1"/>
          <w:bCs w:val="1"/>
        </w:rPr>
        <w:t xml:space="preserve">Άρθρο 66</w:t>
      </w:r>
    </w:p>
    <w:p>
      <w:pPr>
        <w:jc w:val="both"/>
      </w:pPr>
      <w:r>
        <w:rPr>
          <w:sz w:val="22"/>
          <w:szCs w:val="22"/>
          <w:b w:val="1"/>
          <w:bCs w:val="1"/>
        </w:rPr>
        <w:t xml:space="preserve">Αρμοδιότητες Γενικού Διευθυντή</w:t>
      </w:r>
    </w:p>
    <w:p>
      <w:pPr>
        <w:jc w:val="both"/>
      </w:pPr>
      <w:r>
        <w:rPr>
          <w:sz w:val="22"/>
          <w:szCs w:val="22"/>
          <w:b w:val="1"/>
          <w:bCs w:val="1"/>
        </w:rPr>
        <w:t xml:space="preserve"> </w:t>
      </w:r>
    </w:p>
    <w:p>
      <w:pPr>
        <w:jc w:val="both"/>
      </w:pPr>
      <w:r>
        <w:rPr>
          <w:sz w:val="22"/>
          <w:szCs w:val="22"/>
        </w:rPr>
        <w:t xml:space="preserve">Ο Γενικός Διευθυντής:</w:t>
      </w:r>
    </w:p>
    <w:p>
      <w:pPr>
        <w:jc w:val="both"/>
      </w:pPr>
      <w:r>
        <w:rPr>
          <w:sz w:val="22"/>
          <w:szCs w:val="22"/>
        </w:rPr>
        <w:t xml:space="preserve">α) ασκεί τη γενική διεύθυνση και εποπτεία του Φορέα και των υπηρεσιών του,</w:t>
      </w:r>
    </w:p>
    <w:p>
      <w:pPr>
        <w:jc w:val="both"/>
      </w:pPr>
      <w:r>
        <w:rPr>
          <w:sz w:val="22"/>
          <w:szCs w:val="22"/>
        </w:rPr>
        <w:t xml:space="preserve">β) καθορίζει το επιχειρησιακό σχέδιο δράσης του Φορέα,</w:t>
      </w:r>
    </w:p>
    <w:p>
      <w:pPr>
        <w:jc w:val="both"/>
      </w:pPr>
      <w:r>
        <w:rPr>
          <w:sz w:val="22"/>
          <w:szCs w:val="22"/>
        </w:rPr>
        <w:t xml:space="preserve">γ) ορίζει τη στοχοθεσία των υπηρεσιών, συντονίζει το έργο τους και προεγκρίνει τις δράσεις τους,</w:t>
      </w:r>
    </w:p>
    <w:p>
      <w:pPr>
        <w:jc w:val="both"/>
      </w:pPr>
      <w:r>
        <w:rPr>
          <w:sz w:val="22"/>
          <w:szCs w:val="22"/>
        </w:rPr>
        <w:t xml:space="preserve">δ) αποφασίζει για την αναπλήρωση των προϊσταμένων και τον ορισμό των υπεύθυνων των γραφείων του Φορέα,</w:t>
      </w:r>
    </w:p>
    <w:p>
      <w:pPr>
        <w:jc w:val="both"/>
      </w:pPr>
      <w:r>
        <w:rPr>
          <w:sz w:val="22"/>
          <w:szCs w:val="22"/>
        </w:rPr>
        <w:t xml:space="preserve">ε) αποφασίζει για θέματα δημοσίων σχέσεων και φιλοξενίας, στο πλαίσιο της γενικότερης πολιτικής του Φορέα,</w:t>
      </w:r>
    </w:p>
    <w:p>
      <w:pPr>
        <w:jc w:val="both"/>
      </w:pPr>
      <w:r>
        <w:rPr>
          <w:sz w:val="22"/>
          <w:szCs w:val="22"/>
        </w:rPr>
        <w:t xml:space="preserve">στ) μεριμνά για:</w:t>
      </w:r>
    </w:p>
    <w:p>
      <w:pPr>
        <w:jc w:val="both"/>
      </w:pPr>
      <w:r>
        <w:rPr>
          <w:sz w:val="22"/>
          <w:szCs w:val="22"/>
        </w:rPr>
        <w:t xml:space="preserve">στα) την εξεύρεση πόρων, τον αναπτυξιακό σχεδιασμό και την εισροή εσόδων και εισηγείται στο Διοικητικό Συμβούλιο (Δ.Σ.) μέτρα για την αξιοποίηση της κινητής και ακίνητης περιουσίας του Φορέα, σε συνεργασία με τον προϊστάμενο της Διεύθυνσης Διοικητικού – Οικονομικού,</w:t>
      </w:r>
    </w:p>
    <w:p>
      <w:pPr>
        <w:jc w:val="both"/>
      </w:pPr>
      <w:r>
        <w:rPr>
          <w:sz w:val="22"/>
          <w:szCs w:val="22"/>
        </w:rPr>
        <w:t xml:space="preserve">στβ) την ενίσχυση της συνεργασίας και την αξιοποίηση των δυνατοτήτων του επιστημονικού και διοικητικού προσωπικού του Φορέα,</w:t>
      </w:r>
    </w:p>
    <w:p>
      <w:pPr>
        <w:jc w:val="both"/>
      </w:pPr>
      <w:r>
        <w:rPr>
          <w:sz w:val="22"/>
          <w:szCs w:val="22"/>
        </w:rPr>
        <w:t xml:space="preserve">στγ) την κατάρτιση, σε συνεργασία με τους προϊσταμένους των αρμόδιων Διευθύνσεων, του τακτικού προϋπολογισμού, των χρηματοοικονομικών καταστάσεων, σύμφωνα με το λογιστικό πλαίσιο της Γενικής Κυβέρνησης, και του απολογισμού του Φορέα και την υποβολή τους προς έγκριση στο Δ.Σ.,</w:t>
      </w:r>
    </w:p>
    <w:p>
      <w:pPr>
        <w:jc w:val="both"/>
      </w:pPr>
      <w:r>
        <w:rPr>
          <w:sz w:val="22"/>
          <w:szCs w:val="22"/>
        </w:rPr>
        <w:t xml:space="preserve">στδ) την εκτέλεση των αποφάσεων του Δ.Σ.,</w:t>
      </w:r>
    </w:p>
    <w:p>
      <w:pPr>
        <w:jc w:val="both"/>
      </w:pPr>
      <w:r>
        <w:rPr>
          <w:sz w:val="22"/>
          <w:szCs w:val="22"/>
        </w:rPr>
        <w:t xml:space="preserve">στε) την προβολή των εκθέσεων και λοιπών δραστηριοτήτων του Φορέα στα μέσα ενημέρωσης,</w:t>
      </w:r>
    </w:p>
    <w:p>
      <w:pPr>
        <w:jc w:val="both"/>
      </w:pPr>
      <w:r>
        <w:rPr>
          <w:sz w:val="22"/>
          <w:szCs w:val="22"/>
        </w:rPr>
        <w:t xml:space="preserve">στστ) την εισαγωγή στο Δ.Σ. των προτάσεων των προϊσταμένων των υπηρεσιών του Φορέα και</w:t>
      </w:r>
    </w:p>
    <w:p>
      <w:pPr>
        <w:jc w:val="both"/>
      </w:pPr>
      <w:r>
        <w:rPr>
          <w:sz w:val="22"/>
          <w:szCs w:val="22"/>
        </w:rPr>
        <w:t xml:space="preserve">στζ) την αξιολόγηση των προϊσταμένων των Διευθύνσεων,</w:t>
      </w:r>
    </w:p>
    <w:p>
      <w:pPr>
        <w:jc w:val="both"/>
      </w:pPr>
      <w:r>
        <w:rPr>
          <w:sz w:val="22"/>
          <w:szCs w:val="22"/>
        </w:rPr>
        <w:t xml:space="preserve">ζ) συγκροτεί, σε συνεργασία με τους προϊσταμένους των Διευθύνσεων του Φορέα, επιτροπές για:</w:t>
      </w:r>
    </w:p>
    <w:p>
      <w:pPr>
        <w:jc w:val="both"/>
      </w:pPr>
      <w:r>
        <w:rPr>
          <w:sz w:val="22"/>
          <w:szCs w:val="22"/>
        </w:rPr>
        <w:t xml:space="preserve">ζα) τη διενέργεια τακτικών ή πρόχειρων διαγωνισμών και την παραλαβή έργων, υπηρεσιών και προμηθειών και</w:t>
      </w:r>
    </w:p>
    <w:p>
      <w:pPr>
        <w:jc w:val="both"/>
      </w:pPr>
      <w:r>
        <w:rPr>
          <w:sz w:val="22"/>
          <w:szCs w:val="22"/>
        </w:rPr>
        <w:t xml:space="preserve">ζβ) την εκκαθάριση των αρχείων, καθώς και την καταστροφή του άχρηστου μη αναλώσιμου υλικού,</w:t>
      </w:r>
    </w:p>
    <w:p>
      <w:pPr>
        <w:jc w:val="both"/>
      </w:pPr>
      <w:r>
        <w:rPr>
          <w:sz w:val="22"/>
          <w:szCs w:val="22"/>
        </w:rPr>
        <w:t xml:space="preserve">η) είναι ο διατάκτης των πιστώσεων του Φορέα, σύμφωνα με το άρθρο 65 του ν. 4270/2014 (Α’ 143),</w:t>
      </w:r>
    </w:p>
    <w:p>
      <w:pPr>
        <w:jc w:val="both"/>
      </w:pPr>
      <w:r>
        <w:rPr>
          <w:sz w:val="22"/>
          <w:szCs w:val="22"/>
        </w:rPr>
        <w:t xml:space="preserve">θ) εκπροσωπεί τον Φορέα σε εκδηλώσεις και</w:t>
      </w:r>
    </w:p>
    <w:p>
      <w:pPr>
        <w:jc w:val="both"/>
      </w:pPr>
      <w:r>
        <w:rPr>
          <w:sz w:val="22"/>
          <w:szCs w:val="22"/>
        </w:rPr>
        <w:t xml:space="preserve">ι) είναι αρμόδιος για κάθε άλλο θέμα που παραπέμπεται σ’ αυτόν από το Δ.Σ.</w:t>
      </w:r>
    </w:p>
    <w:p>
      <w:pPr>
        <w:jc w:val="both"/>
      </w:pPr>
      <w:r>
        <w:rPr>
          <w:sz w:val="22"/>
          <w:szCs w:val="22"/>
        </w:rPr>
        <w:t xml:space="preserve"> </w:t>
      </w:r>
    </w:p>
    <w:p>
      <w:pPr>
        <w:jc w:val="both"/>
      </w:pPr>
      <w:r>
        <w:rPr>
          <w:sz w:val="22"/>
          <w:szCs w:val="22"/>
          <w:b w:val="1"/>
          <w:bCs w:val="1"/>
        </w:rPr>
        <w:t xml:space="preserve"> </w:t>
      </w:r>
    </w:p>
    <w:p>
      <w:pPr>
        <w:jc w:val="both"/>
      </w:pPr>
      <w:r>
        <w:rPr>
          <w:sz w:val="22"/>
          <w:szCs w:val="22"/>
          <w:b w:val="1"/>
          <w:bCs w:val="1"/>
        </w:rPr>
        <w:t xml:space="preserve">ΚΕΦΑΛΑΙΟ Δ΄</w:t>
      </w:r>
    </w:p>
    <w:p>
      <w:pPr>
        <w:jc w:val="both"/>
      </w:pPr>
      <w:r>
        <w:rPr>
          <w:sz w:val="22"/>
          <w:szCs w:val="22"/>
          <w:b w:val="1"/>
          <w:bCs w:val="1"/>
        </w:rPr>
        <w:t xml:space="preserve">ΔΙΑΧΕΙΡΙΣΗ ΤΗΣ ΕΝΑΛΙΑΣ ΠΟΛΙΤΙΣΤΙΚΗΣ ΚΛΗΡΟΝΟΜΙΑΣ</w:t>
      </w:r>
    </w:p>
    <w:p>
      <w:pPr>
        <w:jc w:val="both"/>
      </w:pPr>
      <w:r>
        <w:rPr>
          <w:sz w:val="22"/>
          <w:szCs w:val="22"/>
          <w:b w:val="1"/>
          <w:bCs w:val="1"/>
        </w:rPr>
        <w:t xml:space="preserve"> </w:t>
      </w:r>
    </w:p>
    <w:p>
      <w:pPr>
        <w:jc w:val="both"/>
      </w:pPr>
      <w:r>
        <w:rPr>
          <w:sz w:val="22"/>
          <w:szCs w:val="22"/>
          <w:b w:val="1"/>
          <w:bCs w:val="1"/>
        </w:rPr>
        <w:t xml:space="preserve">Άρθρο 67</w:t>
      </w:r>
    </w:p>
    <w:p>
      <w:pPr>
        <w:jc w:val="both"/>
      </w:pPr>
      <w:r>
        <w:rPr>
          <w:sz w:val="22"/>
          <w:szCs w:val="22"/>
          <w:b w:val="1"/>
          <w:bCs w:val="1"/>
        </w:rPr>
        <w:t xml:space="preserve">Χώροι που υπάγονται στη διαχείριση του Φορέα</w:t>
      </w:r>
    </w:p>
    <w:p>
      <w:pPr>
        <w:jc w:val="both"/>
      </w:pPr>
      <w:r>
        <w:rPr>
          <w:sz w:val="22"/>
          <w:szCs w:val="22"/>
          <w:b w:val="1"/>
          <w:bCs w:val="1"/>
        </w:rPr>
        <w:t xml:space="preserve"> </w:t>
      </w:r>
    </w:p>
    <w:p>
      <w:pPr>
        <w:numPr>
          <w:ilvl w:val="0"/>
          <w:numId w:val="69"/>
        </w:numPr>
      </w:pPr>
      <w:r>
        <w:rPr>
          <w:sz w:val="22"/>
          <w:szCs w:val="22"/>
        </w:rPr>
        <w:t xml:space="preserve">Ο Φορέας είναι αρμόδιος για τη διαχείριση των ακόλουθων χώρων, σύμφωνα με τον Κώδικα νομοθεσίας για την προστασία των αρχαιοτήτων και εν γένει της πολιτιστικής κληρονομιάς (ν. 4858/2021, Α’ 220):</w:t>
      </w:r>
    </w:p>
    <w:p>
      <w:pPr>
        <w:jc w:val="both"/>
      </w:pPr>
      <w:r>
        <w:rPr>
          <w:sz w:val="22"/>
          <w:szCs w:val="22"/>
        </w:rPr>
        <w:t xml:space="preserve">α) των επισκέψιμων ενάλιων αρχαιολογικών χώρων του άρθρου 15 του Κώδικα νομοθεσίας για την προστασία των αρχαιοτήτων και εν γένει της πολιτιστικής κληρονομιάς, των οποίων η κυριότητα ανήκει στο Υπουργείο Πολιτισμού,</w:t>
      </w:r>
    </w:p>
    <w:p>
      <w:pPr>
        <w:jc w:val="both"/>
      </w:pPr>
      <w:r>
        <w:rPr>
          <w:sz w:val="22"/>
          <w:szCs w:val="22"/>
        </w:rPr>
        <w:t xml:space="preserve">β) των ναυαγίων πλοίων και αεροσκαφών που έχουν βυθισθεί προ των εκάστοτε τελευταίων πενήντα (50) ετών, του άρθρου 15Β του Κώδικα νομοθεσίας για την προστασία των αρχαιοτήτων και εν γένει της πολιτιστικής κληρονομιάς και</w:t>
      </w:r>
    </w:p>
    <w:p>
      <w:pPr>
        <w:jc w:val="both"/>
      </w:pPr>
      <w:r>
        <w:rPr>
          <w:sz w:val="22"/>
          <w:szCs w:val="22"/>
        </w:rPr>
        <w:t xml:space="preserve">γ) των χερσαίων χώρων και ακινήτων που σχετίζονται με την προβολή, προστασία και ανάδειξη της ενάλιας πολιτιστικής κληρονομιάς.</w:t>
      </w:r>
    </w:p>
    <w:p>
      <w:pPr>
        <w:numPr>
          <w:ilvl w:val="0"/>
          <w:numId w:val="70"/>
        </w:numPr>
      </w:pPr>
      <w:r>
        <w:rPr>
          <w:sz w:val="22"/>
          <w:szCs w:val="22"/>
        </w:rPr>
        <w:t xml:space="preserve">Με απόφαση του Υπουργού Πολιτισμού, η οποία εκδίδεται κατόπιν γνώμης του αρμόδιου οργάνου του Υπουργείου Εθνικής Άμυνας ως προς τα ζητήματα εθνικής άμυνας και ασφάλειας, διαπιστώνεται η έναρξη της διαχείρισης των χώρων της παρ. 1 από τον Φορέα.</w:t>
      </w:r>
    </w:p>
    <w:p>
      <w:pPr>
        <w:jc w:val="both"/>
      </w:pPr>
      <w:r>
        <w:rPr>
          <w:sz w:val="22"/>
          <w:szCs w:val="22"/>
        </w:rPr>
        <w:t xml:space="preserve"> </w:t>
      </w:r>
    </w:p>
    <w:p>
      <w:pPr>
        <w:jc w:val="both"/>
      </w:pPr>
      <w:r>
        <w:rPr>
          <w:sz w:val="22"/>
          <w:szCs w:val="22"/>
          <w:b w:val="1"/>
          <w:bCs w:val="1"/>
        </w:rPr>
        <w:t xml:space="preserve">Άρθρο 68</w:t>
      </w:r>
    </w:p>
    <w:p>
      <w:pPr>
        <w:jc w:val="both"/>
      </w:pPr>
      <w:r>
        <w:rPr>
          <w:sz w:val="22"/>
          <w:szCs w:val="22"/>
          <w:b w:val="1"/>
          <w:bCs w:val="1"/>
        </w:rPr>
        <w:t xml:space="preserve">Αξιοποίηση και ανάδειξη των χώρων που διαχειρίζεται ο Φορέας</w:t>
      </w:r>
    </w:p>
    <w:p>
      <w:pPr>
        <w:jc w:val="both"/>
      </w:pPr>
      <w:r>
        <w:rPr>
          <w:sz w:val="22"/>
          <w:szCs w:val="22"/>
          <w:b w:val="1"/>
          <w:bCs w:val="1"/>
        </w:rPr>
        <w:t xml:space="preserve"> </w:t>
      </w:r>
    </w:p>
    <w:p>
      <w:pPr>
        <w:numPr>
          <w:ilvl w:val="0"/>
          <w:numId w:val="71"/>
        </w:numPr>
      </w:pPr>
      <w:r>
        <w:rPr>
          <w:sz w:val="22"/>
          <w:szCs w:val="22"/>
        </w:rPr>
        <w:t xml:space="preserve">Η αξιοποίηση των χώρων του άρθρου 67 γίνεται με σκοπό την ανάδειξη και προβολή τους και την παροχή υπηρεσιών, προϊόντων και εμπειριών υψηλής ποιότητας στους επισκέπτες τους, σύμφωνα με τον Κώδικα νομοθεσίας για την προστασία των αρχαιοτήτων και εν γένει της πολιτιστικής κληρονομιάς (ν. 4858/2021, Α’ 220).</w:t>
      </w:r>
    </w:p>
    <w:p>
      <w:pPr>
        <w:numPr>
          <w:ilvl w:val="0"/>
          <w:numId w:val="71"/>
        </w:numPr>
      </w:pPr>
      <w:r>
        <w:rPr>
          <w:sz w:val="22"/>
          <w:szCs w:val="22"/>
        </w:rPr>
        <w:t xml:space="preserve">Η πρόσβαση στους χώρους του άρθρου 67 και η χρήση των χώρων αυτών πραγματοποιούνται σύμφωνα με το άρθρο 46 του Κώδικα νομοθεσίας για την προστασία των αρχαιοτήτων και εν γένει της πολιτιστικής κληρονομιάς, περί πρόσβασης και χρήσης μνημείων και χώρων, και το άρθρο 13 του ν. 3409/2005 (Α’ 273), περί καταδυτικών πάρκων και οργανωμένων καταδύσεων, όπου απαιτείται.</w:t>
      </w:r>
    </w:p>
    <w:p>
      <w:pPr>
        <w:numPr>
          <w:ilvl w:val="0"/>
          <w:numId w:val="71"/>
        </w:numPr>
      </w:pPr>
      <w:r>
        <w:rPr>
          <w:sz w:val="22"/>
          <w:szCs w:val="22"/>
        </w:rPr>
        <w:t xml:space="preserve">Οι βασικές αρχές λειτουργίας και οι κανόνες επίσκεψης των χώρων του άρθρου 67 καθορίζονται με τον Γενικό Κανονισμό Λειτουργίας της παρ. 5 του άρθρου 72. Στο πλαίσιο της διαχείρισης των χώρων του άρθρου 67, ο Φορέας είναι αρμόδιος για την ηλεκτρονική και έντυπη έκδοση εισιτηρίων και την είσπραξη του αντιτίμου επίσκεψης. Για την άσκηση της αρμοδιότητας του δεύτερου εδαφίου, οι χώροι του άρθρου 67 δύνανται να εντάσσονται στη διαδικτυακή ψηφιακή πύλη hh.gr και στην πλατφόρμα αυτής.</w:t>
      </w:r>
    </w:p>
    <w:p>
      <w:pPr>
        <w:numPr>
          <w:ilvl w:val="0"/>
          <w:numId w:val="71"/>
        </w:numPr>
      </w:pPr>
      <w:r>
        <w:rPr>
          <w:sz w:val="22"/>
          <w:szCs w:val="22"/>
        </w:rPr>
        <w:t xml:space="preserve">Ο Φορέας είναι αρμόδιος για την αξιοποίηση των αναψυκτηρίων και πωλητηρίων, τα οποία ανήκουν κατά κυριότητα στο Υπουργείο Πολιτισμού και λειτουργούν για την εξυπηρέτηση των επισκεπτών των χώρων της παρ. 1 του άρθρου 67. Η αξιοποίηση γίνεται με σκοπό την ανάδειξη και προβολή της πολιτιστικής κληρονομιάς, την παροχή υπηρεσιών και προϊόντων υψηλής ποιότητας και την εξασφάλιση εσόδων.</w:t>
      </w:r>
    </w:p>
    <w:p>
      <w:pPr>
        <w:jc w:val="both"/>
      </w:pPr>
      <w:r>
        <w:rPr>
          <w:sz w:val="22"/>
          <w:szCs w:val="22"/>
        </w:rPr>
        <w:t xml:space="preserve"> </w:t>
      </w:r>
    </w:p>
    <w:p>
      <w:pPr>
        <w:jc w:val="both"/>
      </w:pPr>
      <w:r>
        <w:rPr>
          <w:sz w:val="22"/>
          <w:szCs w:val="22"/>
          <w:b w:val="1"/>
          <w:bCs w:val="1"/>
        </w:rPr>
        <w:t xml:space="preserve">Άρθρο 69</w:t>
      </w:r>
    </w:p>
    <w:p>
      <w:pPr>
        <w:jc w:val="both"/>
      </w:pPr>
      <w:r>
        <w:rPr>
          <w:sz w:val="22"/>
          <w:szCs w:val="22"/>
          <w:b w:val="1"/>
          <w:bCs w:val="1"/>
        </w:rPr>
        <w:t xml:space="preserve">Σχέδιο δράσης για τη διαχείριση των επισκέψιμων χώρων ενάλιας πολιτιστικής κληρονομιάς</w:t>
      </w:r>
    </w:p>
    <w:p>
      <w:pPr>
        <w:jc w:val="both"/>
      </w:pPr>
      <w:r>
        <w:rPr>
          <w:sz w:val="22"/>
          <w:szCs w:val="22"/>
          <w:b w:val="1"/>
          <w:bCs w:val="1"/>
        </w:rPr>
        <w:t xml:space="preserve"> </w:t>
      </w:r>
    </w:p>
    <w:p>
      <w:pPr>
        <w:numPr>
          <w:ilvl w:val="0"/>
          <w:numId w:val="72"/>
        </w:numPr>
      </w:pPr>
      <w:r>
        <w:rPr>
          <w:sz w:val="22"/>
          <w:szCs w:val="22"/>
        </w:rPr>
        <w:t xml:space="preserve">Με σκοπό τη βελτίωση της πολιτικής για τη διαχείριση των επισκέψιμων χώρων ενάλιας πολιτιστικής κληρονομιάς, το Διοικητικό Συμβούλιο του Φορέα καταρτίζει Σχέδιο Δράσης, το οποίο εγκρίνεται με απόφαση του Υπουργού Πολιτισμού, η οποία εκδίδεται μετά από εισήγηση του Διοικητικού Συμβουλίου του Φορέα και γνώμη του αρμόδιου Συμβουλίου του άρθρου 50 του Κώδικα νομοθεσίας για την προστασία των αρχαιοτήτων και εν γένει της πολιτιστικής κληρονομιάς (ν. 4858/2021, Α’ 220).</w:t>
      </w:r>
    </w:p>
    <w:p>
      <w:pPr>
        <w:numPr>
          <w:ilvl w:val="0"/>
          <w:numId w:val="72"/>
        </w:numPr>
      </w:pPr>
      <w:r>
        <w:rPr>
          <w:sz w:val="22"/>
          <w:szCs w:val="22"/>
        </w:rPr>
        <w:t xml:space="preserve">Το Σχέδιο Δράσης της παρ. 1 έχει πενταετή διάρκεια, η οποία μπορεί να παραταθεί με απόφαση του Υπουργού Πολιτισμού. Για κάθε δράση περιλαμβάνει το αναλυτικό περιεχόμενό της, τον αρμόδιο δημόσιο φορέα για την εφαρμογή ή την εποπτεία της εφαρμογής της, τον υπεύθυνο διοίκησης ή εποπτείας της εφαρμογής της, τον προϋπολογισμό, την πηγή χρηματοδότησης και το χρονοδιάγραμμα εφαρμογής της δράσης.</w:t>
      </w:r>
    </w:p>
    <w:p>
      <w:pPr>
        <w:numPr>
          <w:ilvl w:val="0"/>
          <w:numId w:val="72"/>
        </w:numPr>
      </w:pPr>
      <w:r>
        <w:rPr>
          <w:sz w:val="22"/>
          <w:szCs w:val="22"/>
        </w:rPr>
        <w:t xml:space="preserve">Η διοίκηση, η παρακολούθηση και η αξιολόγηση της εφαρμογής του Σχεδίου Δράσης πραγματοποιούνται με μέριμνα του Φορέα, ο οποίος ενημερώνει τον Υπουργό Πολιτισμού κάθε εξάμηνο με έκθεση προόδου εφαρμογής του Σχεδίου Δράσης. Ο Φορέας είναι αρμόδιος και για την επικαιροποίηση του Σχεδίου Δράσης, σύμφωνα με τη διαδικασία της παρ. 1.</w:t>
      </w:r>
    </w:p>
    <w:p>
      <w:pPr>
        <w:numPr>
          <w:ilvl w:val="0"/>
          <w:numId w:val="72"/>
        </w:numPr>
      </w:pPr>
      <w:r>
        <w:rPr>
          <w:sz w:val="22"/>
          <w:szCs w:val="22"/>
        </w:rPr>
        <w:t xml:space="preserve">Το Σχέδιο Δράσης μπορεί να χρηματοδοτείται από εθνικούς και ενωσιακούς πόρους, από συγχρηματοδοτούμενα προγράμματα, καθώς και από δωρεές και χορηγίες ιδιωτών.</w:t>
      </w:r>
    </w:p>
    <w:p>
      <w:pPr>
        <w:jc w:val="both"/>
      </w:pPr>
      <w:r>
        <w:rPr>
          <w:sz w:val="22"/>
          <w:szCs w:val="22"/>
        </w:rPr>
        <w:t xml:space="preserve"> </w:t>
      </w:r>
    </w:p>
    <w:p>
      <w:pPr>
        <w:jc w:val="both"/>
      </w:pPr>
      <w:r>
        <w:rPr>
          <w:sz w:val="22"/>
          <w:szCs w:val="22"/>
          <w:b w:val="1"/>
          <w:bCs w:val="1"/>
        </w:rPr>
        <w:t xml:space="preserve">ΚΕΦΑΛΑΙΟ Ε’</w:t>
      </w:r>
    </w:p>
    <w:p>
      <w:pPr>
        <w:jc w:val="both"/>
      </w:pPr>
      <w:r>
        <w:rPr>
          <w:sz w:val="22"/>
          <w:szCs w:val="22"/>
          <w:b w:val="1"/>
          <w:bCs w:val="1"/>
        </w:rPr>
        <w:t xml:space="preserve">ΟΡΓΑΝΩΣΗ</w:t>
      </w:r>
    </w:p>
    <w:p>
      <w:pPr>
        <w:jc w:val="both"/>
      </w:pPr>
      <w:r>
        <w:rPr>
          <w:sz w:val="22"/>
          <w:szCs w:val="22"/>
          <w:b w:val="1"/>
          <w:bCs w:val="1"/>
        </w:rPr>
        <w:t xml:space="preserve"> </w:t>
      </w:r>
    </w:p>
    <w:p>
      <w:pPr>
        <w:jc w:val="both"/>
      </w:pPr>
      <w:r>
        <w:rPr>
          <w:sz w:val="22"/>
          <w:szCs w:val="22"/>
          <w:b w:val="1"/>
          <w:bCs w:val="1"/>
        </w:rPr>
        <w:t xml:space="preserve">Άρθρο 70</w:t>
      </w:r>
    </w:p>
    <w:p>
      <w:pPr>
        <w:jc w:val="both"/>
      </w:pPr>
      <w:r>
        <w:rPr>
          <w:sz w:val="22"/>
          <w:szCs w:val="22"/>
          <w:b w:val="1"/>
          <w:bCs w:val="1"/>
        </w:rPr>
        <w:t xml:space="preserve">Υπηρεσίες – Κάλυψη οργανικών θέσεων</w:t>
      </w:r>
    </w:p>
    <w:p>
      <w:pPr>
        <w:jc w:val="both"/>
      </w:pPr>
      <w:r>
        <w:rPr>
          <w:sz w:val="22"/>
          <w:szCs w:val="22"/>
          <w:b w:val="1"/>
          <w:bCs w:val="1"/>
        </w:rPr>
        <w:t xml:space="preserve"> </w:t>
      </w:r>
    </w:p>
    <w:p>
      <w:pPr>
        <w:numPr>
          <w:ilvl w:val="0"/>
          <w:numId w:val="73"/>
        </w:numPr>
      </w:pPr>
      <w:r>
        <w:rPr>
          <w:sz w:val="22"/>
          <w:szCs w:val="22"/>
        </w:rPr>
        <w:t xml:space="preserve">Ο Φορέας συγκροτείται σε μία (1) Γενική Διεύθυνση, η οποία περιλαμβάνει τέσσερις (4) Διευθύνσεις και ένα (1) Αυτοτελές Τμήμα, ως εξής:</w:t>
      </w:r>
    </w:p>
    <w:p>
      <w:pPr>
        <w:jc w:val="both"/>
      </w:pPr>
      <w:r>
        <w:rPr>
          <w:sz w:val="22"/>
          <w:szCs w:val="22"/>
        </w:rPr>
        <w:t xml:space="preserve">α) Διεύθυνση Εναλίων Αρχαιολογικών Χώρων και Μνημείων,</w:t>
      </w:r>
    </w:p>
    <w:p>
      <w:pPr>
        <w:jc w:val="both"/>
      </w:pPr>
      <w:r>
        <w:rPr>
          <w:sz w:val="22"/>
          <w:szCs w:val="22"/>
        </w:rPr>
        <w:t xml:space="preserve">β) Διεύθυνση Έρευνας, Εκπαίδευσης, Επικοινωνίας και Προβολής Πολιτιστικών Δράσεων,</w:t>
      </w:r>
    </w:p>
    <w:p>
      <w:pPr>
        <w:jc w:val="both"/>
      </w:pPr>
      <w:r>
        <w:rPr>
          <w:sz w:val="22"/>
          <w:szCs w:val="22"/>
        </w:rPr>
        <w:t xml:space="preserve">γ) Διεύθυνση Διοικητικού – Οικονομικού,</w:t>
      </w:r>
    </w:p>
    <w:p>
      <w:pPr>
        <w:jc w:val="both"/>
      </w:pPr>
      <w:r>
        <w:rPr>
          <w:sz w:val="22"/>
          <w:szCs w:val="22"/>
        </w:rPr>
        <w:t xml:space="preserve">δ) Διεύθυνση Τεχνικών Υπηρεσιών και</w:t>
      </w:r>
    </w:p>
    <w:p>
      <w:pPr>
        <w:jc w:val="both"/>
      </w:pPr>
      <w:r>
        <w:rPr>
          <w:sz w:val="22"/>
          <w:szCs w:val="22"/>
        </w:rPr>
        <w:t xml:space="preserve">ε) Αυτοτελές Τμήμα Νομικής Υποστήριξης.</w:t>
      </w:r>
    </w:p>
    <w:p>
      <w:pPr>
        <w:numPr>
          <w:ilvl w:val="0"/>
          <w:numId w:val="74"/>
        </w:numPr>
      </w:pPr>
      <w:r>
        <w:rPr>
          <w:sz w:val="22"/>
          <w:szCs w:val="22"/>
        </w:rPr>
        <w:t xml:space="preserve">Με τον Οργανισμό του Φορέα είναι δυνατή η σύσταση έως πέντε (5) Γραφείων, τα οποία έχουν ως επιχειρησιακό στόχο τη διασφάλιση της εύρυθμης λειτουργίας μεμονωμένων χώρων ή ομάδων χώρων που διαχειρίζεται ο Φορέας και υπάγονται απευθείας στον προϊστάμενο της Διεύθυνσης Εναλίων Αρχαιολογικών Χώρων και Μνημείων της περ. α) της παρ. 1. Τα Γραφεία λειτουργούν σε επίπεδο Τμήματος, είναι αρμόδια για την τήρηση του παρόντος νόμου και του Γενικού Κανονισμού Λειτουργίας και επικουρούν τα όργανα διοίκησης του Φορέα σε οποιοδήποτε ζήτημα τους ανατίθεται. Οι αρμοδιότητες των Γραφείων καθορίζονται με τον Οργανισμό του Φορέα. Ως υπεύθυνοι των Γραφείων ορίζονται υπάλληλοι των κλάδων ΠΕ ή ΤΕ.</w:t>
      </w:r>
    </w:p>
    <w:p>
      <w:pPr>
        <w:numPr>
          <w:ilvl w:val="0"/>
          <w:numId w:val="74"/>
        </w:numPr>
      </w:pPr>
      <w:r>
        <w:rPr>
          <w:sz w:val="22"/>
          <w:szCs w:val="22"/>
        </w:rPr>
        <w:t xml:space="preserve">Το Αυτοτελές Τμήμα Νομικής Υποστήριξης της περ. ε) της παρ. 1 υπάγεται στον Πρόεδρο του Δ.Σ. του Φορέα και στελεχώνεται από δύο (2) δικηγόρους, εκ των οποίων ο ένας (1) προσλαμβάνεται ως νομικός σύμβουλος και ο άλλος ως δικηγόρος με έμμισθη εντολή, σύμφωνα με το άρθρο 43 του Κώδικα Δικηγόρων (ν. 4194/2013, Α’ 208) και το άρθρο 51 του ν. 4622/2019 (Α΄ 133). Στους δικηγόρους ανατίθενται η δικαστική εκπροσώπηση του Φορέα, ο χειρισμός δικαστικών υποθέσεων και η παροχή νομικών συμβουλών και γνωμοδοτήσεων.</w:t>
      </w:r>
    </w:p>
    <w:p>
      <w:pPr>
        <w:numPr>
          <w:ilvl w:val="0"/>
          <w:numId w:val="74"/>
        </w:numPr>
      </w:pPr>
      <w:r>
        <w:rPr>
          <w:sz w:val="22"/>
          <w:szCs w:val="22"/>
        </w:rPr>
        <w:t xml:space="preserve">Ο προϊστάμενος της Διεύθυνσης Διοικητικού – Οικονομικού έχει τις αρμοδιότητες και ασκεί τα καθήκοντα του προϊσταμένου οικονομικών υπηρεσιών, σύμφωνα με τον ν. 4270/2014 (Α’ 143).</w:t>
      </w:r>
    </w:p>
    <w:p>
      <w:pPr>
        <w:numPr>
          <w:ilvl w:val="0"/>
          <w:numId w:val="74"/>
        </w:numPr>
      </w:pPr>
      <w:r>
        <w:rPr>
          <w:sz w:val="22"/>
          <w:szCs w:val="22"/>
        </w:rPr>
        <w:t xml:space="preserve">Στους υπαλλήλους του Φορέα που ασκούν χρέη διαχειριστή εσόδων καταβάλλεται από τους πόρους του Φορέα επίδομα ύψους εκατό (100) ευρώ μηνιαίως, σύμφωνα με την παρ. 6 του άρθρου 72.</w:t>
      </w:r>
    </w:p>
    <w:p>
      <w:pPr>
        <w:jc w:val="both"/>
      </w:pPr>
      <w:r>
        <w:rPr>
          <w:sz w:val="22"/>
          <w:szCs w:val="22"/>
          <w:b w:val="1"/>
          <w:bCs w:val="1"/>
        </w:rPr>
        <w:t xml:space="preserve"> </w:t>
      </w:r>
    </w:p>
    <w:p>
      <w:pPr>
        <w:jc w:val="both"/>
      </w:pPr>
      <w:r>
        <w:rPr>
          <w:sz w:val="22"/>
          <w:szCs w:val="22"/>
          <w:b w:val="1"/>
          <w:bCs w:val="1"/>
        </w:rPr>
        <w:t xml:space="preserve">Άρθρο 71</w:t>
      </w:r>
    </w:p>
    <w:p>
      <w:pPr>
        <w:jc w:val="both"/>
      </w:pPr>
      <w:r>
        <w:rPr>
          <w:sz w:val="22"/>
          <w:szCs w:val="22"/>
          <w:b w:val="1"/>
          <w:bCs w:val="1"/>
        </w:rPr>
        <w:t xml:space="preserve">Στελέχωση – Θέματα προσωπικού – Κάλυψη οργανικών θέσεων</w:t>
      </w:r>
    </w:p>
    <w:p>
      <w:pPr>
        <w:jc w:val="both"/>
      </w:pPr>
      <w:r>
        <w:rPr>
          <w:sz w:val="22"/>
          <w:szCs w:val="22"/>
          <w:b w:val="1"/>
          <w:bCs w:val="1"/>
        </w:rPr>
        <w:t xml:space="preserve"> </w:t>
      </w:r>
    </w:p>
    <w:p>
      <w:pPr>
        <w:numPr>
          <w:ilvl w:val="0"/>
          <w:numId w:val="75"/>
        </w:numPr>
      </w:pPr>
      <w:r>
        <w:rPr>
          <w:sz w:val="22"/>
          <w:szCs w:val="22"/>
        </w:rPr>
        <w:t xml:space="preserve">Στον Φορέα συστήνονται είκοσι πέντε (25) οργανικές θέσεις μόνιμου προσωπικού και δέκα (10) οργανικές θέσεις προσωπικού με σχέση εργασίας ιδιωτικού δικαίου αορίστου χρόνου. Η κατανομή των θέσεων του προσωπικού κατά σχέση εργασίας, εκπαιδευτική κατηγορία, κλάδο και ειδικότητα καθορίζεται με τον Οργανισμό του Φορέα.</w:t>
      </w:r>
    </w:p>
    <w:p>
      <w:pPr>
        <w:numPr>
          <w:ilvl w:val="0"/>
          <w:numId w:val="75"/>
        </w:numPr>
      </w:pPr>
      <w:r>
        <w:rPr>
          <w:sz w:val="22"/>
          <w:szCs w:val="22"/>
        </w:rPr>
        <w:t xml:space="preserve">Οι οργανικές θέσεις του Φορέα δύνανται να καλύπτονται με προσλήψεις, μετατάξεις ή αποσπάσεις μόνιμου προσωπικού ή προσωπικού με σχέση εργασίας ιδιωτικού δικαίου αορίστου χρόνου που υπηρετεί σε φορείς της Γενικής Κυβέρνησης, όπως αυτή ορίζεται στην περ. β) της παρ. 1 του άρθρου 14 του ν. 4270/2014 (Α’ 143), σύμφωνα με τον ν. 4765/2021 (Α’ 6).</w:t>
      </w:r>
    </w:p>
    <w:p>
      <w:pPr>
        <w:numPr>
          <w:ilvl w:val="0"/>
          <w:numId w:val="75"/>
        </w:numPr>
      </w:pPr>
      <w:r>
        <w:rPr>
          <w:sz w:val="22"/>
          <w:szCs w:val="22"/>
        </w:rPr>
        <w:t xml:space="preserve">Για την κάλυψη επειγουσών, εποχικών ή απρόβλεπτων αναγκών, ο Φορέας δύναται να προσλαμβάνει προσωπικό με σύμβαση εργασίας ιδιωτικού δικαίου ορισμένου χρόνου, σύμφωνα με τον ν. 4765/2021 και το άρθρο 51 του ν. 4622/2019 (Α’ 133), περί ετήσιου προγραμματισμού προσλήψεων.</w:t>
      </w:r>
    </w:p>
    <w:p>
      <w:pPr>
        <w:numPr>
          <w:ilvl w:val="0"/>
          <w:numId w:val="75"/>
        </w:numPr>
      </w:pPr>
      <w:r>
        <w:rPr>
          <w:sz w:val="22"/>
          <w:szCs w:val="22"/>
        </w:rPr>
        <w:t xml:space="preserve">Για την υλοποίηση προγραμμάτων που χρηματοδοτούνται ή συγχρηματοδοτούνται από ενωσιακούς πόρους, ο Φορέας δύναται να απασχολεί προσωπικό με σύμβαση μίσθωσης έργου, σύμφωνα με το άρθρο 6 του ν. 2527/1997 (Α’ 206), περί συμβάσεων μίσθωσης έργου, και την υπ’ αρ. 114947/2022 απόφαση του Υφυπουργού Ανάπτυξης και Επενδύσεων (B’ 6132), περί δαπανών για αμοιβές προσωπικού.</w:t>
      </w:r>
    </w:p>
    <w:p>
      <w:pPr>
        <w:numPr>
          <w:ilvl w:val="0"/>
          <w:numId w:val="75"/>
        </w:numPr>
      </w:pPr>
      <w:r>
        <w:rPr>
          <w:sz w:val="22"/>
          <w:szCs w:val="22"/>
        </w:rPr>
        <w:t xml:space="preserve">Για την κάλυψη αναγκών εξειδικευμένου ή τεχνικού χαρακτήρα, το σχετικό έργο ή η σχετική υπηρεσία μπορεί να ανατίθεται σε ανάδοχο ή πάροχο υπηρεσιών, σύμφωνα με τον ν. 4412/2016 (Α’ 147).</w:t>
      </w:r>
    </w:p>
    <w:p>
      <w:pPr>
        <w:numPr>
          <w:ilvl w:val="0"/>
          <w:numId w:val="75"/>
        </w:numPr>
      </w:pPr>
      <w:r>
        <w:rPr>
          <w:sz w:val="22"/>
          <w:szCs w:val="22"/>
        </w:rPr>
        <w:t xml:space="preserve">Τα προσόντα για την πρόσληψη του προσωπικού με σχέση εργασίας ιδιωτικού δικαίου καθορίζονται σύμφωνα με το π.δ. 85/2022 (Α’ 232).</w:t>
      </w:r>
    </w:p>
    <w:p>
      <w:pPr>
        <w:jc w:val="both"/>
      </w:pPr>
      <w:r>
        <w:rPr>
          <w:sz w:val="22"/>
          <w:szCs w:val="22"/>
        </w:rPr>
        <w:t xml:space="preserve"> </w:t>
      </w:r>
    </w:p>
    <w:p>
      <w:pPr>
        <w:jc w:val="both"/>
      </w:pPr>
      <w:r>
        <w:rPr>
          <w:sz w:val="22"/>
          <w:szCs w:val="22"/>
          <w:b w:val="1"/>
          <w:bCs w:val="1"/>
        </w:rPr>
        <w:t xml:space="preserve">ΚΕΦΑΛΑΙΟ ΣΤ’</w:t>
      </w:r>
    </w:p>
    <w:p>
      <w:pPr>
        <w:jc w:val="both"/>
      </w:pPr>
      <w:r>
        <w:rPr>
          <w:sz w:val="22"/>
          <w:szCs w:val="22"/>
          <w:b w:val="1"/>
          <w:bCs w:val="1"/>
        </w:rPr>
        <w:t xml:space="preserve">ΕΞΟΥΣΙΟΔΟΤΙΚΕΣ – ΜΕΤΑΒΑΤΙΚΕΣ ΔΙΑΤΑΞΕΙΣ ΜΕΡΟΥΣ Γ’</w:t>
      </w:r>
    </w:p>
    <w:p>
      <w:pPr>
        <w:jc w:val="both"/>
      </w:pPr>
      <w:r>
        <w:rPr>
          <w:sz w:val="22"/>
          <w:szCs w:val="22"/>
          <w:b w:val="1"/>
          <w:bCs w:val="1"/>
        </w:rPr>
        <w:t xml:space="preserve"> </w:t>
      </w:r>
    </w:p>
    <w:p>
      <w:pPr>
        <w:jc w:val="both"/>
      </w:pPr>
      <w:r>
        <w:rPr>
          <w:sz w:val="22"/>
          <w:szCs w:val="22"/>
          <w:b w:val="1"/>
          <w:bCs w:val="1"/>
        </w:rPr>
        <w:t xml:space="preserve">Άρθρο 72</w:t>
      </w:r>
    </w:p>
    <w:p>
      <w:pPr>
        <w:jc w:val="both"/>
      </w:pPr>
      <w:r>
        <w:rPr>
          <w:sz w:val="22"/>
          <w:szCs w:val="22"/>
          <w:b w:val="1"/>
          <w:bCs w:val="1"/>
        </w:rPr>
        <w:t xml:space="preserve">Εξουσιοδοτικές διατάξεις μέρους Γ΄</w:t>
      </w:r>
    </w:p>
    <w:p>
      <w:pPr>
        <w:jc w:val="both"/>
      </w:pPr>
      <w:r>
        <w:rPr>
          <w:sz w:val="22"/>
          <w:szCs w:val="22"/>
          <w:b w:val="1"/>
          <w:bCs w:val="1"/>
        </w:rPr>
        <w:t xml:space="preserve"> </w:t>
      </w:r>
    </w:p>
    <w:p>
      <w:pPr>
        <w:numPr>
          <w:ilvl w:val="0"/>
          <w:numId w:val="76"/>
        </w:numPr>
      </w:pPr>
      <w:r>
        <w:rPr>
          <w:sz w:val="22"/>
          <w:szCs w:val="22"/>
        </w:rPr>
        <w:t xml:space="preserve">Με προεδρικό διάταγμα, το οποίο εκδίδεται εντός έξι (6) μηνών από την έναρξη ισχύος του παρόντος, με πρόταση των Υπουργών Πολιτισμού, Εθνικής Οικονομίας και Οικονομικών και Εσωτερικών, κατόπιν εισήγησης του Διοικητικού Συμβουλίου του Φορέα, καταρτίζεται ο Οργανισμός Λειτουργίας του Φορέα, με τον οποίο καθορίζονται η κατανομή των θέσεων του προσωπικού κατά σχέση εργασίας, κατηγορία, κλάδο και ειδικότητα, η οργανωτική διάρθρωσή του, σύμφωνα με το άρθρο 70, και κάθε άλλο ζήτημα που προβλέπει το άρθρο 20 του ν. 4622/2019 (Α’ 133).</w:t>
      </w:r>
    </w:p>
    <w:p>
      <w:pPr>
        <w:numPr>
          <w:ilvl w:val="0"/>
          <w:numId w:val="76"/>
        </w:numPr>
      </w:pPr>
      <w:r>
        <w:rPr>
          <w:sz w:val="22"/>
          <w:szCs w:val="22"/>
        </w:rPr>
        <w:t xml:space="preserve">Με κοινή απόφαση των Υπουργών Πολιτισμού και Εθνικής Οικονομίας και Οικονομικών καθορίζεται, σύμφωνα με την παρ. 3 του άρθρου 22 του ν. 4354/2015 (Α’ 176), η μηνιαία αποζημίωση που καταβάλλεται στον Πρόεδρο του Διοικητικού Συμβουλίου και στον Γενικό Διευθυντή του Φορέα.</w:t>
      </w:r>
    </w:p>
    <w:p>
      <w:pPr>
        <w:numPr>
          <w:ilvl w:val="0"/>
          <w:numId w:val="76"/>
        </w:numPr>
      </w:pPr>
      <w:r>
        <w:rPr>
          <w:sz w:val="22"/>
          <w:szCs w:val="22"/>
        </w:rPr>
        <w:t xml:space="preserve">Με κοινή απόφαση των Υπουργών Πολιτισμού και Εθνικής Οικονομίας και Οικονομικών καθορίζεται, σύμφωνα με την παρ. 3 του άρθρου 22 του ν. 4354/2015, η αποζημίωση ανά συνεδρίαση που καταβάλλεται στον Αντιπρόεδρο, στα μέλη και στον γραμματέα του Διοικητικού Συμβουλίου του Φορέα.</w:t>
      </w:r>
    </w:p>
    <w:p>
      <w:pPr>
        <w:numPr>
          <w:ilvl w:val="0"/>
          <w:numId w:val="76"/>
        </w:numPr>
      </w:pPr>
      <w:r>
        <w:rPr>
          <w:sz w:val="22"/>
          <w:szCs w:val="22"/>
        </w:rPr>
        <w:t xml:space="preserve">Με απόφαση του Γενικού Διευθυντή του Φορέα δύνανται να μεταβιβάζονται οι αρμοδιότητες της παρ. 1 ή να παρέχεται εξουσιοδότηση υπογραφής σε διοικητικά όργανα που υπάγονται σε αυτόν.</w:t>
      </w:r>
    </w:p>
    <w:p>
      <w:pPr>
        <w:numPr>
          <w:ilvl w:val="0"/>
          <w:numId w:val="76"/>
        </w:numPr>
      </w:pPr>
      <w:r>
        <w:rPr>
          <w:sz w:val="22"/>
          <w:szCs w:val="22"/>
        </w:rPr>
        <w:t xml:space="preserve">Με κοινή απόφαση των Υπουργών Πολιτισμού και Εθνικής Οικονομίας και Οικονομικών, μετά από εισήγηση του Διοικητικού Συμβουλίου του Φορέα και γνώμη του αρμόδιου Συμβουλίου του άρθρου 50 του Κώδικα νομοθεσίας για την προστασία των αρχαιοτήτων και εν γένει της πολιτιστικής κληρονομιάς (ν. 4858/2021, Α’ 220), καθορίζεται το αντίτιμο εισόδου στους χώρους του άρθρου 67.</w:t>
      </w:r>
    </w:p>
    <w:p>
      <w:pPr>
        <w:numPr>
          <w:ilvl w:val="0"/>
          <w:numId w:val="76"/>
        </w:numPr>
      </w:pPr>
      <w:r>
        <w:rPr>
          <w:sz w:val="22"/>
          <w:szCs w:val="22"/>
        </w:rPr>
        <w:t xml:space="preserve">Με απόφαση του Υπουργού Πολιτισμού, η οποία εκδίδεται μετά από εισήγηση του Διοικητικού Συμβουλίου του Φορέα και γνώμη του αρμόδιου Συμβουλίου του άρθρου 50 του Κώδικα νομοθεσίας για την προστασία των αρχαιοτήτων και εν γένει της πολιτιστικής κληρονομιάς, εγκρίνεται ο Γενικός Κανονισμός Λειτουργίας της παρ. 3 του άρθρου 68.</w:t>
      </w:r>
    </w:p>
    <w:p>
      <w:pPr>
        <w:numPr>
          <w:ilvl w:val="0"/>
          <w:numId w:val="76"/>
        </w:numPr>
      </w:pPr>
      <w:r>
        <w:rPr>
          <w:sz w:val="22"/>
          <w:szCs w:val="22"/>
        </w:rPr>
        <w:t xml:space="preserve">Με κοινή απόφαση των Υπουργών Πολιτισμού και Εθνικής Οικονομίας και Οικονομικών καθορίζονται οι όροι, οι προϋποθέσεις και η διαδικασία καταβολής του επιδόματος της παρ. 5 του άρθρου 70.</w:t>
      </w:r>
    </w:p>
    <w:p>
      <w:pPr>
        <w:jc w:val="both"/>
      </w:pPr>
      <w:r>
        <w:rPr>
          <w:sz w:val="22"/>
          <w:szCs w:val="22"/>
        </w:rPr>
        <w:t xml:space="preserve"> </w:t>
      </w:r>
    </w:p>
    <w:p>
      <w:pPr>
        <w:jc w:val="both"/>
      </w:pPr>
      <w:r>
        <w:rPr>
          <w:sz w:val="22"/>
          <w:szCs w:val="22"/>
          <w:b w:val="1"/>
          <w:bCs w:val="1"/>
        </w:rPr>
        <w:t xml:space="preserve">Άρθρο 73</w:t>
      </w:r>
    </w:p>
    <w:p>
      <w:pPr>
        <w:jc w:val="both"/>
      </w:pPr>
      <w:r>
        <w:rPr>
          <w:sz w:val="22"/>
          <w:szCs w:val="22"/>
          <w:b w:val="1"/>
          <w:bCs w:val="1"/>
        </w:rPr>
        <w:t xml:space="preserve">Μεταβατικές διατάξεις Μέρους Γ’</w:t>
      </w:r>
    </w:p>
    <w:p>
      <w:pPr>
        <w:jc w:val="both"/>
      </w:pPr>
      <w:r>
        <w:rPr>
          <w:sz w:val="22"/>
          <w:szCs w:val="22"/>
          <w:b w:val="1"/>
          <w:bCs w:val="1"/>
        </w:rPr>
        <w:t xml:space="preserve"> </w:t>
      </w:r>
    </w:p>
    <w:p>
      <w:pPr>
        <w:numPr>
          <w:ilvl w:val="0"/>
          <w:numId w:val="77"/>
        </w:numPr>
      </w:pPr>
      <w:r>
        <w:rPr>
          <w:sz w:val="22"/>
          <w:szCs w:val="22"/>
        </w:rPr>
        <w:t xml:space="preserve">Έως την έκδοση του Οργανισμού Λειτουργίας του Φορέα, τα θέματα της παρ. 1 του άρθρου 72 ρυθμίζονται με απόφαση του Διοικητικού Συμβουλίου του Φορέα.</w:t>
      </w:r>
    </w:p>
    <w:p>
      <w:pPr>
        <w:numPr>
          <w:ilvl w:val="0"/>
          <w:numId w:val="77"/>
        </w:numPr>
      </w:pPr>
      <w:r>
        <w:rPr>
          <w:sz w:val="22"/>
          <w:szCs w:val="22"/>
        </w:rPr>
        <w:t xml:space="preserve">Έως την πλήρωση των κενών οργανικών θέσεων του Φορέα, σύμφωνα με το άρθρο 21, και για διάστημα δύο (2) ετών από την έναρξη ισχύος του παρόντος, είναι δυνατή η κάλυψη αυτών με μετατάξεις ή αποσπάσεις μόνιμου προσωπικού και προσωπικού με σχέση εργασίας ιδιωτικού δικαίου αορίστου χρόνου των φορέων της Γενικής Κυβέρνησης, όπως αυτή ορίζεται στην περ. β) της παρ. 1 του άρθρου 14 του ν. 4270/2014 (Α΄ 143). Οι μετατάξεις και αποσπάσεις του πρώτου εδαφίου διενεργούνται σύμφωνα με το άρθρο 31 του ν. 4873/2021 (Α’248) περί κινητικότητας υπαλλήλων σε νεοσύστατες υπηρεσίες φορέων Γενικής Κυβέρνησης. Οι αποσπάσεις του πρώτου εδαφίου έχουν χρονική διάρκεια δύο (2) ετών και μπορούν να παρατείνονται για δύο (2) επιπλέον έτη. Οι υπάλληλοι που αποσπώνται στο Φορέα σύμφωνα με τα προβλεπόμενα στην παρούσα παράγραφο δύνανται να αιτηθούν τη μετάταξή τους σε αυτόν μετά την παρέλευση τεσσάρων (4) ετών από την έναρξη της απόσπασής τους, διατηρούν τον βαθμό και το μισθολογικό κλιμάκιο που κατέχουν και ο χρόνος απόσπασής τους λογίζεται, για όλες τις συνέπειες, ως πραγματική υπηρεσία στην οργανική θέση τους. Οι αποσπάσεις του πρώτου εδαφίου διενεργούνται με την επιφύλαξη του άρθρου 36 του ν. 4778/2021 (Α’ 26), περί απαγόρευσης μετάταξης και απόσπασης υπαλλήλων του Ηλεκτρονικού Εθνικού Φορέα Κοινωνικής Ασφάλισης (e-ΕΦΚΑ).</w:t>
      </w:r>
    </w:p>
    <w:p>
      <w:pPr>
        <w:numPr>
          <w:ilvl w:val="0"/>
          <w:numId w:val="77"/>
        </w:numPr>
      </w:pPr>
      <w:r>
        <w:rPr>
          <w:sz w:val="22"/>
          <w:szCs w:val="22"/>
        </w:rPr>
        <w:t xml:space="preserve">Μέχρι την επαρκή στελέχωση του Φορέα, η οποία διαπιστώνεται με πράξη του Υπουργού Πολιτισμού μετά από εισήγηση του Δ.Σ. του Φορέα, και σε κάθε περίπτωση όχι πέραν της 31ης Δεκεμβρίου 2027, ως φορέας λειτουργίας για τη διοικητική και οικονομική υποστήριξη του Φορέα νοείται το Υπουργείο Πολιτισμού, μέσω των αρμόδιων υπηρεσιών του.</w:t>
      </w:r>
    </w:p>
    <w:p/>
    <w:p>
      <w:pPr/>
      <w:r>
        <w:rPr>
          <w:sz w:val="22"/>
          <w:szCs w:val="22"/>
          <w:b w:val="1"/>
          <w:bCs w:val="1"/>
        </w:rPr>
        <w:t xml:space="preserve">Σχόλια επί της ενότητας 3</w:t>
      </w:r>
    </w:p>
    <w:p>
      <w:pPr/>
      <w:r>
        <w:rPr>
          <w:b w:val="1"/>
          <w:bCs w:val="1"/>
        </w:rPr>
        <w:t xml:space="preserve">Σύλλογος Ελλήνων Αρχαιολόγων – 20 Ιουλίου 2026, 00:43</w:t>
      </w:r>
    </w:p>
    <w:p>
      <w:pPr/>
      <w:r>
        <w:rPr/>
        <w:t xml:space="preserve">Το Μέρος Γ του νόμου ιδρύει ένα ΝΠΔΔ που υποκαθιστά τις αρμοδιότητες, τον διοικητικό και τον επιστημονικό ρόλο της καθ’ ύλην αρμόδιας Ειδικής Περιφερειακής Υπηρεσίας της ΓΔΑΠΚ του ΥΠΠΟ, της Εφορείας Εναλίων Αρχαιοτήτων (ΕΕΑ). Για την ρύθμιση αυτή δεν παρουσιάζεται καμία αιτιολογία, καθώς το άνοιγμα των ενάλιων αρχαιολογικών χώρων στο καταδυτικό κοινό, η ίδρυση εκθέσεων (σε Πύλο και Ρόδο), καθώς και η προετοιμαζόμενη έκθεση στο Εθνικό Μουσείο Εναλίων Αρχαιοτήτων στον Πειραιά, αποτελούν το μακροχρόνιο έργο του επιστημονικού, διοικητικού και τεχνικού προσωπικού της ΕΕΑ, το οποίο με αυτή τη ρύθμιση αποσιωπάται και παραγκωνίζεται. Η ανάγκη για την ίδρυση ΝΠΔΔ που αναλαμβάνει έργο μιας δημόσιας υπηρεσίας, που μάλιστα εκτελείται εδώ και χρόνια, δεν τεκμαίρεται.</w:t>
      </w:r>
    </w:p>
    <w:p/>
    <w:p>
      <w:pPr/>
      <w:r>
        <w:rPr/>
        <w:t xml:space="preserve">Το ΝΠΔΔ παίρνει αρμοδιότητες από την ΕΕΑ και κοστίζει πολύ περισσότερο.</w:t>
      </w:r>
    </w:p>
    <w:p/>
    <w:p>
      <w:pPr/>
      <w:r>
        <w:rPr/>
        <w:t xml:space="preserve">Αντί να ενισχυθεί η ΕΕΑ με προσωπικό και πόρους, ιδρύεται ένα ΝΠΔΔ που θα κοστίζει πολύ περισσότερο. Η σύγκριση των δύο οργανογραμμάτων είναι αποκαλυπτική. </w:t>
      </w:r>
    </w:p>
    <w:p/>
    <w:p>
      <w:pPr/>
      <w:r>
        <w:rPr/>
        <w:t xml:space="preserve">Η Εφορεία Εναλίων Αρχαιοτήτων είναι Ειδική Περιφερειακή Υπηρεσία της ΓΔΑΠΚ του ΥΠ.ΠΟ. με αρμοδιότητα σε όλη την Ελληνική Επικράτεια, με αποστολή την προστασία και ανάδειξη των ενάλιων αρχαιοτήτων, που συνίστανται σε ναυάγια αρχαίων πλοίων, οικισμών ή αρχαίων λιμενικών εγκαταστάσεων, που βρίσκονται εντός των θαλασσών, των λιμνών και των ποταμών, καθώς και τα ναυάγια πλοίων και αεροσκαφών άνω των 50 ετών από την ημερομηνία ναυαγήσεώς τους. Το προσωπικό της σήμερα είναι μόλις 63 εργαζόμενοι όλων των ειδικοτήτων, πολλοί από αυτούς καταδυόμενοι, με 22 κενές θέσεις. Η διάρθρωσή της είναι:</w:t>
      </w:r>
    </w:p>
    <w:p/>
    <w:p>
      <w:pPr/>
      <w:r>
        <w:rPr/>
        <w:t xml:space="preserve">-Διευθυντής</w:t>
      </w:r>
    </w:p>
    <w:p/>
    <w:p>
      <w:pPr/>
      <w:r>
        <w:rPr/>
        <w:t xml:space="preserve">-4 Τμηματάρχες (Τμήμα Διοικητικής Οικονομικής και Τεχνικής Υποστήριξης, Τμήμα Εναλίων Αρχαιολογικών Χώρων, Μνημείων και Ερευνών, Τμήμα Ερευνών Αρχαιολογικών Έργων και Τεκμηρίωσης, Δημοσίευσης και Αρχείου, Τμήμα Συντήρησης Αρχαιοτήτων και Έργων Τέχνης)</w:t>
      </w:r>
    </w:p>
    <w:p/>
    <w:p>
      <w:pPr/>
      <w:r>
        <w:rPr/>
        <w:t xml:space="preserve">-3 γραφεία που λειτουργούν σε επίπεδο Τμήματος (Γραφείο Κρήτης, Βορείου Ελλάδος, Πελοποννήσου)</w:t>
      </w:r>
    </w:p>
    <w:p/>
    <w:p>
      <w:pPr/>
      <w:r>
        <w:rPr/>
        <w:t xml:space="preserve">Ο φορέας που περιγράφεται στο σχέδιο νόμου διαθέτει 35 οργανικές θέσεις, και διοικείται:</w:t>
      </w:r>
    </w:p>
    <w:p/>
    <w:p>
      <w:pPr/>
      <w:r>
        <w:rPr/>
        <w:t xml:space="preserve">-ΔΣ με 7 αμειβόμενα μέλη (είτε με μισθό, είτε αμοιβή για τις συνεδριάσεις)</w:t>
      </w:r>
    </w:p>
    <w:p/>
    <w:p>
      <w:pPr/>
      <w:r>
        <w:rPr/>
        <w:t xml:space="preserve">-Γενικό Διευθυντή</w:t>
      </w:r>
    </w:p>
    <w:p/>
    <w:p>
      <w:pPr/>
      <w:r>
        <w:rPr/>
        <w:t xml:space="preserve">-4 Διευθυντές (Διεύθυνση Εναλίων Αρχαιολογικών Χώρων και Μνημείων, Διεύθυνση Έρευνας, Εκπαίδευσης, Επικοινωνίας και Προβολής Πολιτιστικών Δράσεων, Διεύθυνση Διοικητικού – Οικονομικού, Διεύθυνση Τεχνικών Υπηρεσιών)</w:t>
      </w:r>
    </w:p>
    <w:p/>
    <w:p>
      <w:pPr/>
      <w:r>
        <w:rPr/>
        <w:t xml:space="preserve">-6 Τμηματάρχες (1 Αυτοτελές Τμήμα Νομικής Υποστήριξης και 5 επικεφαλής Γραφείων σε επίπεδο Τμήματος)</w:t>
      </w:r>
    </w:p>
    <w:p/>
    <w:p>
      <w:pPr/>
      <w:r>
        <w:rPr/>
        <w:t xml:space="preserve">Είναι προφανές ότι αν οι 35 οργανικές θέσεις συστήνονταν και πληρώνονταν στην ΕΕΑ του ΥΠΠΟ, όλοι οι στόχοι που περιγράφονται στο άρθρο 55 θα εκπληρώνονταν με ακόμη μεγαλύτερη επάρκεια, χωρίς το επιπλέον κόστος ενός πολυδάπανου φορέα που θα επιβαρύνει τον κρατικό προϋπολογισμό. Επιπλέον, καθώς η ΕΕΑ είναι η μόνη υπηρεσία εναλίων αρχαιοτήτων, το καταδυόμενο προσωπικό της είναι το μόνο με την εμπειρία για την επίτευξη των στόχων που περιγράφονται ψευδεπίγραφα ως στόχοι του νέου φορέα.</w:t>
      </w:r>
    </w:p>
    <w:p/>
    <w:p>
      <w:pPr/>
      <w:r>
        <w:rPr/>
        <w:t xml:space="preserve">Οι στόχοι που αναφέρονται στο άρθρο 55 έχουν ήδη επιτευχθεί από την ΕΕΑ</w:t>
      </w:r>
    </w:p>
    <w:p/>
    <w:p>
      <w:pPr/>
      <w:r>
        <w:rPr/>
        <w:t xml:space="preserve">Η οριοθέτηση, ανάδειξη και επισκεψιμότητα των ενάλιων αρχαιολογικών χώρων της Αλοννήσου και του Δυτικού Παγασητικού έχουν πραγματοποιηθεί από την ΕΕΑ με τη χρηματοδότηση δύο χρηματοδοτικών προγραμμάτων, του BLUEMED και του ΠΕΠ Θεσσαλίας ήδη από το 2020. Έχει αναπτυχθεί ειδικό λογισμικό φύλαξης και προστασίας, με χρήση Τεχνητής Νοημοσύνης. Έχουν καταρτιστεί και εγκριθεί από το ΥΠΠΟ Μελέτες Οργάνωσης της Επίσκεψης (ολοκληρωμένο πλαίσιο επίσκεψης) σε 4 επισκέψιμους ενάλιους αρχαιολογικούς χώρους. Το έργο αυτό, μάλιστα, έχει βραβευτεί δύο φορές σε διεθνείς διοργανώσεις. Το έργο βρίσκεται σε εξέλιξη μέσω του ΠΕΠ Θεσσαλίας.</w:t>
      </w:r>
    </w:p>
    <w:p/>
    <w:p>
      <w:pPr/>
      <w:r>
        <w:rPr/>
        <w:t xml:space="preserve">Η ΕΕΑ έχει πραγματοποιήσει εκπαιδευτικά προγράμματα, έχει κάνει συνεργασίες με τις τοπικές κοινωνίες για ανάδειξη και προβολή χώρων ενάλιας πολιτιστικής κληρονομιάς, διαθέτει εξειδικευμένο καταδυτικό επιστημονικό προσωπικό με δημοσιεύσεις διεθνούς κύρους, έχει αναπτύξει σχέσεις με άλλους φορείς ενάλιας πολιτιστικής κληρονομιάς στην Ευρώπη (πχ Γαλλία, Ιταλία), έχει συμμετάσχει σε ερευνητικά προγράμματα, διαθέτει βιβλιοθήκη σε θέματα ενάλιας πολιτιστικής κληρονομιάς. Έχει αποδώσει 91 νεότερα ναυάγια-μνημεία δωρεάν για επίσκεψη στο καταδυτικό κοινό.</w:t>
      </w:r>
    </w:p>
    <w:p/>
    <w:p>
      <w:pPr/>
      <w:r>
        <w:rPr/>
        <w:t xml:space="preserve">Οι στόχοι που αναφέρονται για τον Φορέα, ως πιθανοί να επιτευχθούν μελλοντικά, έχουν ήδη επιτευχθεί από την ΕΕΑ. Αν η χρηματοδότηση που προορίζεται για τον Φορέα (άρθρο 56, αναμένουμε και την έκθεση του ΓΛΚ για να φανεί πραγματικά το κόστος αυτής της ρύθμισης) δινόταν στην ΕΕΑ, το έργο της θα ήταν πολλαπλάσιο, προς όφελος των μνημείων, της χώρας, της ενάλιας αρχαιολογίας και του καταδυτικού τουρισμού.</w:t>
      </w:r>
    </w:p>
    <w:p/>
    <w:p>
      <w:pPr/>
      <w:r>
        <w:rPr/>
        <w:t xml:space="preserve">Οι ενάλιες αρχαιότητες στο σχέδιο νόμου αντιμετωπίζονται ως «προϊόντα» και όχι ως πολιτιστική κληρονομιά χρήζουσα προστασίας</w:t>
      </w:r>
    </w:p>
    <w:p/>
    <w:p>
      <w:pPr/>
      <w:r>
        <w:rPr/>
        <w:t xml:space="preserve">Η σύσταση του φορέα αντιμετωπίζει τους ενάλιους αρχαιολογικούς χώρους ως δύο διακριτές κατηγορίες: τους επισκέψιμους, που παραχωρούνται στον φορέα, και τους μη επισκέψιμους, που παραμένουν στην ΕΕΑ. Οι ενάλιοι αρχαιολογικοί χώροι έχουν ανάγκη από την ίδια προστασία, είτε είναι επισκέψιμοι είτε όχι. Έχουν ανάγκη από έρευνα, ανασκαφή, τεκμηρίωση, συντήρηση, ανάδειξη και προβολή τόσο ως μεμονωμένα μνημεία όσο και ως σύνολο. Το ενάλιο πολιτιστικό απόθεμα της Αλοννήσου, για παράδειγμα, δεν εξαντλείται στους 4 ΕΕΑΧ. Είναι απαράδεκτος, τόσο από αρχαιολογική σκοπιά όσο και από τη σκοπιά της ανάδειξης, ο χωρισμός μεταξύ των ναυαγίων, των λιμενικών έργων στα οποία τα πλοία που ναυάγησαν κατευθύνονταν, των απορρίψεων στη θάλασσα και άλλων αρχαιολογικών ενδείξεων ναυτικής δραστηριότητας που αποτελούν ένα σύνολο και αφηγούνται την ιστορία της ναυσιπλοΐας σε έναν τόπο. Στην θαλάσσια περιοχή Φούρνοι-Κορσεαί έχουν βρεθεί 60 ναυάγια, ενώ έχουν κηρυχτεί μόνο δύο ΕΕΑΧ (με βάση τα βάθη, την ορατότητα, την ασφάλεια των δυτών). Με βάση την νέα ρύθμιση (άρθρο 67), τους 2 ΕΕΑΧ στους Φούρνους θα τους διαχειρίζεται ο Φορέας-ΝΠΔΔ και όλα τα υπόλοιπα θα τα διαχειρίζεται η ΕΕΑ, κάτι που είναι επιστημονικά, διοικητικά και διαχειριστικά εντελώς αβάσιμο και δεν θα μπορέσει να λειτουργήσει. Επιπλέον, προδίδει ασύγγνωστη άγνοια το ότι πουθενά στον Φορέα δεν προβλέπεται συντήρηση, ενώ οι επισκέψιμοι ενάλιοι χώροι χρήζουν τακτικής συντήρησης.</w:t>
      </w:r>
    </w:p>
    <w:p/>
    <w:p>
      <w:pPr/>
      <w:r>
        <w:rPr/>
        <w:t xml:space="preserve">Τόσο το ΔΣ του Φορέα, όσο και ο Γενικός Διευθυντής δεν έχουν τα προσόντα που απαιτούνται για την διαχείριση ενάλιων αρχαιολογικών χώρων, παρότι όλοι γνωρίζουν ότι το αντικείμενο της ενάλιας αρχαιολογίας είναι απολύτως εξειδικευμένο και η επισκεψιμότητα σχετίζεται άρρηκτα με την κατάδυση. Ο νέος Φορέας δεν έχει διασύνδεση με την ΕΕΑ: στο ΔΣ του τοποθετείται ο εκάστοτε Γενικός Διευθυντής Αρχαιοτήτων και Πολιτιστικής Κληρονομιάς, όχι όμως ο εκάστοτε Διευθυντής της ΕΕΑ.</w:t>
      </w:r>
    </w:p>
    <w:p/>
    <w:p>
      <w:pPr/>
      <w:r>
        <w:rPr/>
        <w:t xml:space="preserve">Σε αντίθεση με τα ΝΠΔΔ του Ν. 5021, όπως και το Μουσείο της Ακρόπολης, οι Γενικοί Διευθυντές των οποίων είναι αρχαιολόγοι με διδακτορικό στην αρχαιολογία ή την μουσειολογία, εδώ εισάγεται η θλιβερή πρωτοτυπία τα επιστημονικά προσόντα του Γενικού Διευθυντή να είναι τα εξής: «στην αρχαιολογία, στις νομικές ή οικονομικές σπουδές, στις σπουδές οργάνωσης και διοίκησης επιχειρήσεων ή πολιτιστικής διαχείρισης ή σε άλλη επιστήμη συναφή προς τους σκοπούς, τον χαρακτήρα και τη λειτουργία του Φορέα» με διδακτορικό δίπλωμα Α.Ε.Ι. «ή αυτοτελή μεταπτυχιακό τίτλο σπουδών διάρκειας τουλάχιστον ενός (1) ακαδημαϊκού έτους Α.Ε.Ι., πανεπιστημιακού ή τεχνολογικού τομέα» στα εξής αντικείμενα: «στις οικονομικές σπουδές, στις σπουδές οργάνωσης και διοίκησης επιχειρήσεων ή πολιτιστικής διαχείρισης ή σε άλλη επιστήμη συναφή προς τους σκοπούς, τον χαρακτήρα και τη λειτουργία του Φορέα» (άρθρο 65). </w:t>
      </w:r>
    </w:p>
    <w:p/>
    <w:p>
      <w:pPr/>
      <w:r>
        <w:rPr/>
        <w:t xml:space="preserve">Είναι πραγματικά σοκαριστικό και δείχνει την περιφρόνηση της πολιτικής ηγεσίας του ΥΠΠΟ στην αρχαιολογία και τους προσοντούχους επιστήμονες του κλάδου, που είναι πολλοί στη χώρα. Ο Γενικός Διευθυντής δεν χρειάζεται καν να είναι αρχαιολόγος. Δεν χρειάζεται καν να έχει διδακτορικό. Δεν αποτελεί προσόν για την διαχείριση ενάλιων αρχαιολογικών χώρων η ειδίκευση στην ενάλια αρχαιολογία! Θεωρείται επαρκής για να διαχειριστεί ενάλιους αρχαιολογικούς χώρους, τις εκθέσεις (και το Μουσείο Εναλίων Αρχαιοτήτων;)και την ενάλια έρευνα, κάποιος που έχει απλώς μεταπτυχιακό στις οικονομικές σπουδές ή στην διοίκηση επιχειρήσεων. Η ρύθμιση που εισάγει το ΥΠΠΟ είναι αδιανόητη και ευθεία προσβολή για το σύνολο της αρχαιολογικής κοινότητας, όπως και για τον Αρχαιολογικό Νόμο. Δυστυχώς, είναι συμβατό με την οπτική της ηγεσίας του ΥΠΠΟ που δεν βλέπει τους ενάλιους χώρους ως αρχαιολογικούς χώρους και ιστορικούς τόπους -όπως επιτάσσει ο Αρχαιολογικός Νόμος- με πολιτιστική, εκπαιδευτική και κοινωνική σημασία, αλλά μονάχα ως «τουριστικό προϊόν» με οικονομική αξία.</w:t>
      </w:r>
    </w:p>
    <w:p/>
    <w:p>
      <w:pPr/>
      <w:r>
        <w:rPr/>
        <w:t xml:space="preserve">Και μάλιστα τόσο το ΔΣ όσο και ο Γενικός Διευθυντής έχουν θητεία 5 χρόνων, και ο Γενικός Διευθυντής με την δυνατότητα παράτασης για άλλα 10 χρόνια (άρθρο 64).</w:t>
      </w:r>
    </w:p>
    <w:p/>
    <w:p>
      <w:pPr/>
      <w:r>
        <w:rPr/>
        <w:t xml:space="preserve">Ποια είναι η ακίνητη περιουσία και οι εκθέσεις που θα διαχειρίζεται ο Φορέας;</w:t>
      </w:r>
    </w:p>
    <w:p/>
    <w:p>
      <w:pPr/>
      <w:r>
        <w:rPr/>
        <w:t xml:space="preserve">Σε όλη τη ρύθμιση γίνεται εμφανές, χωρίς ποτέ να λέγεται ρητά, ότι ο ίδιος Φορέας θα διαχειρίζεται «ακίνητη και κινητή περιουσία», αναψυκτήρια, πωλητήρια, θα ενοικιάζει χώρους για να προσπορίζεται έσοδα, καθώς και χερσαιους χώρους προβολής της ενάλιας πολιτιστικής κληρονομιάς. Δεν αναφέρεται πουθενά συγκεκρικένα ποιοι είναι αυτοί οι χώροι.</w:t>
      </w:r>
    </w:p>
    <w:p/>
    <w:p>
      <w:pPr/>
      <w:r>
        <w:rPr/>
        <w:t xml:space="preserve">Πιθανώς η πολιτική ηγεσία θέλει να αποφύγει -διά της αποσιωπήσεως- την κριτική για το ότι το Εθνικό Μουσείο Εναλίων, έργο ορόσημο του Ταμείου Ανάκαμψης και Ανθεκτικότητας, κόστους 107 εκ. ευρώ, όπως ήταν αναμενόμενο δεν κατάφερε να ολοκληρωθεί έως τις 30/6/2026, οπότε και το ΤΑΑ τελείωσε. Το κτίριο δεν έχει καν ολοκληρωθεί, συνεπεια του λάθος σχεδιασμού στον οποίο επέμεινε εξ αρχής η πολιτική ηγεσία του ΥΠΠΟ. Κανένα μεγάλο Μουσείο της χώρας δεν ολοκληρώθηκε ποτέ εντός 3 ετών. Ένα Μουσείο 24.000 τ.μ.  ήταν αδύνατο να ολοκληρωθεί και να εγκαινιαστεί στο α εξάμηνο του 2026, όπως είχε δεσμευτεί η Υπουργός και ο Πρωθυπουργός. Δεν γνωρίζουμε με ποιον τρόπο και με ποια χρηματοδότηση θα ολοκληρωθεί και αν θα ζητηθεί επιστροφή χρημάτων στο ΤΑΑ λόγω μη ολοκλήρωσης. Η ευθύνη βαρύνει ολοκληρωτικά την πολιτική ηγεσία, που επέλεξε αυτόν τον σχεδιασμό. </w:t>
      </w:r>
    </w:p>
    <w:p/>
    <w:p>
      <w:pPr/>
      <w:r>
        <w:rPr/>
        <w:t xml:space="preserve">Ο ίδιος «λανθασμένος» σχεδιασμός που οδηγεί τώρα σε ένα ΝΠΔΔ, που δεν καλύπτει καμία πραγματική δημόσια ανάγκη, το οποίο σύμφωνα με το άρθρο 73, θα εξυπηρετείται διοικητικά και οικονομικά από τις υπηρεσίες του ΥΠΠΟ. </w:t>
      </w:r>
    </w:p>
    <w:p/>
    <w:p>
      <w:pPr/>
      <w:r>
        <w:rPr/>
        <w:t xml:space="preserve">Ποια είναι η πραγματική σκοπιμότητα ίδρυσης αυτού του Φορέα;</w:t>
      </w:r>
    </w:p>
    <w:p/>
    <w:p>
      <w:pPr/>
      <w:r>
        <w:rPr/>
        <w:t xml:space="preserve">Υποκρύπτεται, χωρίς να αναφέρεται ρητά, στο άρθρο 69: «Το Σχέδιο Δράσης της παρ. 1 έχει πενταετή διάρκεια, η οποία μπορεί να παραταθεί με απόφαση του Υπουργού Πολιτισμού. Για κάθε δράση περιλαμβάνει το αναλυτικό περιεχόμενό της, τον αρμόδιο δημόσιο φορέα για την εφαρμογή ή την εποπτεία της εφαρμογής της, τον υπεύθυνο διοίκησης ή εποπτείας της εφαρμογής της, τον προϋπολογισμό, την πηγή χρηματοδότησης και το χρονοδιάγραμμα εφαρμογής της δράσης.»</w:t>
      </w:r>
    </w:p>
    <w:p/>
    <w:p>
      <w:pPr/>
      <w:r>
        <w:rPr/>
        <w:t xml:space="preserve">Σκοπός της ρύθμισης είναι να υπεισέλθει μέσω του Φορέα ΝΠΔΔ, η αντισυνταγματική ανάθεση της διαχείρισης, της τεκμηρίωσης, προστασίας και της οργάνωσης της επίσκεψης στους ενάλιους χώρους σε φορείς εκτός ΥΠΠΟ, όπως τους ΟΤΑ, ή ακόμη και ιδιωτικές εταιρείες. Πρόκειται για τον πραγματικό σκοπό της πολιτικής ηγεσίας του ΥΠΠΟ, που προσπαθεί να τον κάνει πράξη μέσω υποκρυπτόμενης διάταξης στο εν λόγω σχέδιο νόμου («τον αρμόδιο δημόσιο φορέα για την εφαρμογή ή την εποπτεία της εφαρμογής της, τον υπεύθυνο διοίκησης ή εποπτείας της εφαρμογής της»), ώστε να κατοχυρώσει στην πράξη την διαχείριση των ενάλιων αρχαιολογικών χώρων από φορείς εκτός Αρχαιολογικής Υπηρεσίας και εκτός ΥΠΠΟ, κατά παράβαση του Συντάγματος και του Αρχαιολογικού Νόμου. Για το λόγο αυτό το σχέδιο νόμου πρέπει να αποσυρθεί, άλλως να καταψηφιστεί.</w:t>
      </w:r>
    </w:p>
    <w:p/>
    <w:p/>
    <w:p/>
    <w:bookmarkStart w:id="3" w:name="og_article_4"/>
    <w:bookmarkEnd w:id="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4 – ΜΕΡΟΣ Δ΄ ΡΥΘΜΙΣΕΙΣ ΓΙΑ ΤΗΝ ΕΦΑΡΜΟΓΗ ΤΟΥ ΕΘΝΙΚΟΥ ΣΧΕΔΙΟΥ ΔΡΑΣΗΣ ΓΙΑ ΤΗΝ ΑΝΑΠΤΥΞΗ ΤΟΥ ΟΠΤΙΚΟΑΚΟΥΣΤΙΚΟΥ ΔΗΜΙΟΥΡΓΙΚΟΥ ΤΟΜΕΑ (Άρθρα 74-104)</w:t>
      </w:r>
    </w:p>
    <w:p>
      <w:pPr>
        <w:pStyle w:val="Heading3"/>
      </w:pPr>
      <w:r>
        <w:rPr>
          <w:sz w:val="22"/>
          <w:szCs w:val="22"/>
        </w:rPr>
        <w:t xml:space="preserve">ΜΕΡΟΣ Δ΄ ΡΥΘΜΙΣΕΙΣ ΓΙΑ ΤΗΝ ΕΦΑΡΜΟΓΗ ΤΟΥ ΕΘΝΙΚΟΥ ΣΧΕΔΙΟΥ ΔΡΑΣΗΣ ΓΙΑ ΤΗΝ ΑΝΑΠΤΥΞΗ ΤΟΥ ΟΠΤΙΚΟΑΚΟΥΣΤΙΚΟΥ ΔΗΜΙΟΥΡΓΙΚΟΥ ΤΟΜΕΑ (Άρθρα 74-104)</w:t>
      </w:r>
    </w:p>
    <w:p>
      <w:pPr>
        <w:jc w:val="both"/>
      </w:pPr>
      <w:r>
        <w:rPr>
          <w:sz w:val="22"/>
          <w:szCs w:val="22"/>
        </w:rPr>
        <w:t xml:space="preserve">ΚΕΦΑΛΑΙΟ Α΄</w:t>
      </w:r>
      <w:br/>
      <w:r>
        <w:rPr>
          <w:sz w:val="22"/>
          <w:szCs w:val="22"/>
        </w:rPr>
        <w:t xml:space="preserve">ΓΕΝΙΚΕΣ ΔΙΑΤΑΞΕΙΣ</w:t>
      </w:r>
    </w:p>
    <w:p>
      <w:pPr>
        <w:jc w:val="both"/>
      </w:pPr>
      <w:r>
        <w:rPr>
          <w:sz w:val="22"/>
          <w:szCs w:val="22"/>
        </w:rPr>
        <w:t xml:space="preserve">Άρθρο 74</w:t>
      </w:r>
      <w:br/>
      <w:r>
        <w:rPr>
          <w:sz w:val="22"/>
          <w:szCs w:val="22"/>
        </w:rPr>
        <w:t xml:space="preserve">Σκοπός</w:t>
      </w:r>
    </w:p>
    <w:p>
      <w:pPr>
        <w:jc w:val="both"/>
      </w:pPr>
      <w:r>
        <w:rPr>
          <w:sz w:val="22"/>
          <w:szCs w:val="22"/>
        </w:rPr>
        <w:t xml:space="preserve">Σκοπός του παρόντος Μέρους είναι η ανάπτυξη του Οπτικοακουστικού Δημιουργικού Τομέα (εφεξής: Ο.Δ.Τ.) μέσω της θέσπισης σταθερού και συνεκτικού θεσμικού πλαισίου για την υλοποίηση του Εθνικού Σχεδίου Δράσης, με έμφαση στον πολυετή προγραμματισμό και στη διασφάλιση της σταθερότητας και της προβλεψιμότητας των πόρων των χρηματοδοτικών εργαλείων του νομικού προσώπου ιδιωτικού δικαίου με την επωνυμία «Ελληνικό Κέντρο Κινηματογράφου, Οπτικοακουστικών Μέσων και Δημιουργίας Α.Ε.» (εφεξής: Ε.Κ.Κ.Ο.ΜΕ.Δ.), για την ενίσχυση της οπτικοακουστικής δημιουργίας, την προσέλκυση επενδύσεων, την ενδυνάμωση της παραγωγικής βάσης του κλάδου και τη βιώσιμη και εξωστρεφή ανάπτυξή του, σε συνάφεια με τους αναπτυξιακούς πυλώνες της εθνικής οικονομίας, ιδίως ως προς την καινοτομία, την εξωστρέφεια και τον ψηφιακό μετασχηματισμό.</w:t>
      </w:r>
    </w:p>
    <w:p>
      <w:pPr>
        <w:jc w:val="both"/>
      </w:pPr>
      <w:r>
        <w:rPr>
          <w:sz w:val="22"/>
          <w:szCs w:val="22"/>
        </w:rPr>
        <w:t xml:space="preserve">Άρθρο 75</w:t>
      </w:r>
      <w:br/>
      <w:r>
        <w:rPr>
          <w:sz w:val="22"/>
          <w:szCs w:val="22"/>
        </w:rPr>
        <w:t xml:space="preserve">Αντικείμενο</w:t>
      </w:r>
    </w:p>
    <w:p>
      <w:pPr>
        <w:jc w:val="both"/>
      </w:pPr>
      <w:r>
        <w:rPr>
          <w:sz w:val="22"/>
          <w:szCs w:val="22"/>
        </w:rPr>
        <w:t xml:space="preserve">Αντικείμενο του παρόντος Μέρους είναι ιδίως:</w:t>
      </w:r>
      <w:br/>
      <w:r>
        <w:rPr>
          <w:sz w:val="22"/>
          <w:szCs w:val="22"/>
        </w:rPr>
        <w:t xml:space="preserve">α) η ρύθμιση της οργάνωσης και της λειτουργίας των εργαλείων χρηματοδοτικής στήριξης και ενίσχυσης του Ο.Δ.Τ. στην Ελλάδα,</w:t>
      </w:r>
      <w:br/>
      <w:r>
        <w:rPr>
          <w:sz w:val="22"/>
          <w:szCs w:val="22"/>
        </w:rPr>
        <w:t xml:space="preserve">β) η ρύθμιση της οργάνωσης του προγράμματος εξωστρέφειας για την προβολή και την προώθηση του ελληνικού οπτικοακουστικού δημιουργικού τομέα στο εσωτερικό και στο εξωτερικό και</w:t>
      </w:r>
      <w:br/>
      <w:r>
        <w:rPr>
          <w:sz w:val="22"/>
          <w:szCs w:val="22"/>
        </w:rPr>
        <w:t xml:space="preserve">γ) η ρύθμιση θεμάτων που αφορούν στη θεσμική και διοικητική ενδυνάμωση του Ε.Κ.Κ.Ο.ΜΕ.Δ., για την αποτελεσματική υλοποίηση του Εθνικού Σχεδίου Δράσης για την ανάπτυξη του Ο.Δ.Τ. και, γενικότερα, για την ανάπτυξή του.</w:t>
      </w:r>
    </w:p>
    <w:p>
      <w:pPr>
        <w:jc w:val="both"/>
      </w:pPr>
      <w:r>
        <w:rPr>
          <w:sz w:val="22"/>
          <w:szCs w:val="22"/>
        </w:rPr>
        <w:t xml:space="preserve">ΚΕΦΑΛΑΙΟ Β’</w:t>
      </w:r>
      <w:br/>
      <w:r>
        <w:rPr>
          <w:sz w:val="22"/>
          <w:szCs w:val="22"/>
        </w:rPr>
        <w:t xml:space="preserve">ΕΠΕΝΔΥΤΙΚΟ ΠΡΟΓΡΑΜΜΑ ΣΤΗΡΙΞΗΣ ΟΠΤΙΚΟΑΚΟΥΣΤΙΚΩΝ ΕΡΓΩΝ ΜΕ ΤΗΝ ΟΝΟΜΑΣΙΑ «CASH REBATE GREECE»</w:t>
      </w:r>
    </w:p>
    <w:p>
      <w:pPr>
        <w:jc w:val="both"/>
      </w:pPr>
      <w:r>
        <w:rPr>
          <w:sz w:val="22"/>
          <w:szCs w:val="22"/>
        </w:rPr>
        <w:t xml:space="preserve">Άρθρο 76</w:t>
      </w:r>
      <w:br/>
      <w:r>
        <w:rPr>
          <w:sz w:val="22"/>
          <w:szCs w:val="22"/>
        </w:rPr>
        <w:t xml:space="preserve">Γενικές αρχές και εφαρμοστέο δίκαιο</w:t>
      </w:r>
    </w:p>
    <w:p>
      <w:pPr>
        <w:jc w:val="both"/>
      </w:pPr>
      <w:r>
        <w:rPr>
          <w:sz w:val="22"/>
          <w:szCs w:val="22"/>
        </w:rPr>
        <w:t xml:space="preserve">1. Το Επενδυτικό Πρόγραμμα Στήριξης Οπτικοακουστικών Έργων με την ονομασία «Cash Rebate Greece» (εφεξής: Πρόγραμμα CRGR) περιλαμβάνει δύο (2) καθεστώτα ενίσχυσης ως εξής:</w:t>
      </w:r>
      <w:br/>
      <w:r>
        <w:rPr>
          <w:sz w:val="22"/>
          <w:szCs w:val="22"/>
        </w:rPr>
        <w:t xml:space="preserve">α) καθεστώς Α’ «FTV GREECE», για την προσέλκυση διεθνών και τη στήριξη εγχώριων κινηματογραφικών σχεδίων, τηλεοπτικών παραγωγών και προγραμμάτων, καθώς και παραγωγών κινουμένων σχεδίων (animation), το οποίο διακρίνεται σε δύο (2) Δράσεις: i) Δράση Film Greece (A1) και ii) Δράση TV Greece (A2) και</w:t>
      </w:r>
      <w:br/>
      <w:r>
        <w:rPr>
          <w:sz w:val="22"/>
          <w:szCs w:val="22"/>
        </w:rPr>
        <w:t xml:space="preserve">β) καθεστώς Β’ «AV INNOVATION GREECE», για την προσέλκυση διεθνών και τη στήριξη εγχώριων καινοτόμων οπτικοακουστικών έργων με υψηλή τεχνολογική διάσταση, το οποίο διακρίνεται σε δύο (2) Δράσεις: i) Δράση Video Game Development-VGD (B1) και ii) Δράση Alter Realities (Β2).</w:t>
      </w:r>
      <w:br/>
      <w:r>
        <w:rPr>
          <w:sz w:val="22"/>
          <w:szCs w:val="22"/>
        </w:rPr>
        <w:t xml:space="preserve">2. Τα καθεστώτα ενίσχυσης του Προγράμματος CRGR χρηματοδοτούνται από το Εθνικό Πρόγραμμα Ανάπτυξης (Ε.Π.Α.), σύμφωνα με τον πενταετή προγραμματισμό του άρθρου 9 του ν. 5264/2025 (A’ 23), περί διάρκειας προγραμματικών περιόδων, και σύμφωνα με τους όρους, τις προϋποθέσεις και τις διαδικασίες του νόμου αυτού.</w:t>
      </w:r>
      <w:br/>
      <w:r>
        <w:rPr>
          <w:sz w:val="22"/>
          <w:szCs w:val="22"/>
        </w:rPr>
        <w:t xml:space="preserve">3. Η ένταξη των επενδυτικών σχεδίων στα καθεστώτα ενίσχυσης του Προγράμματος CRGR προς χρηματοδότηση διέπεται από τον Κανονισμό (ΕΕ) 651/2014 της Επιτροπής, της 17ης Ιουνίου 2014, για την κήρυξη ορισμένων κατηγοριών ενισχύσεων ως συμβατών με την εσωτερική αγορά κατ’ εφαρμογή των άρθρων 107 και 108 της Συνθήκης για τη Λειτουργία της Ευρωπαϊκής Ένωσης (L 187) (Γενικός Απαλλακτικός Κανονισμός, εφεξής: Γ.Α.Κ.) και ιδίως από τα Κεφάλαια Ι και ΙΙ και το άρθρο 54 αυτού, καθώς και από κάθε άλλη σχετική με τις κρατικές ενισχύσεις ενωσιακή νομοθεσία που επιτρέπει την προκήρυξη καθεστώτων κρατικών ενισχύσεων από εθνικούς πόρους ή από σχετική εγκριτική απόφαση της Ευρωπαϊκής Ένωσης, στις περιπτώσεις που τα καθεστώτα αυτά χρήζουν κοινοποίησης στην Ευρωπαϊκή Ένωση για την αξιολόγηση της συμβατότητάς τους με το δίκαιο των κρατικών ενισχύσεων.</w:t>
      </w:r>
      <w:br/>
      <w:r>
        <w:rPr>
          <w:sz w:val="22"/>
          <w:szCs w:val="22"/>
        </w:rPr>
        <w:t xml:space="preserve">4. Στα επενδυτικά σχέδια που εντάσσονται στα καθεστώτα του Προγράμματος CRGR εφαρμόζονται οι εξής κανόνες:</w:t>
      </w:r>
      <w:br/>
      <w:r>
        <w:rPr>
          <w:sz w:val="22"/>
          <w:szCs w:val="22"/>
        </w:rPr>
        <w:t xml:space="preserve">α) Κανόνες σώρευσης:</w:t>
      </w:r>
      <w:br/>
      <w:r>
        <w:rPr>
          <w:sz w:val="22"/>
          <w:szCs w:val="22"/>
        </w:rPr>
        <w:t xml:space="preserve">αα) Επενδυτικά σχέδια που ενισχύονται σύμφωνα με τα καθεστώτα του Προγράμματος CRGR επιτρέπεται να ενταχθούν και σε άλλο καθεστώς κρατικών ενισχύσεων. Ειδικότερα, επιτρέπεται η σώρευση της ενίσχυσης των καθεστώτων αυτών με τις ενισχύσεις συγκεκριμένων άλλων καθεστώτων, με την προϋπόθεση ότι συντρέχουν οι προϋποθέσεις των παρ. 3, 4 και 5 του άρθρου 8 του Γ.Α.Κ., περί κανόνων σώρευσης. Για τη διακρίβωση της τήρησης των ορίων ως προς τις μέγιστες εντάσεις ενίσχυσης και ως προς τα μέγιστα ποσά ενίσχυσης που προβλέπονται στον Γ.Α.Κ. για το παρόν Πρόγραμμα, λαμβάνεται υπόψη το συνολικό ποσό των ενισχύσεων που χορηγούνται, κατά περίπτωση, στο ενισχυόμενο επενδυτικό σχέδιο και στην επιχείρηση και ελέγχεται η περίπτωση τεχνητής κατάτμησής του, σύμφωνα με την παρ. 2 του άρθρου 4, περί ορίων κοινοποίησης, και την παρ. 1 του άρθρου 8 του Γ.Α.Κ. Σε περιπτώσεις συνδυασμού της ενίσχυσης των καθεστώτων του Προγράμματος CRGR με ενωσιακή χρηματοδότηση, η οποία υπόκειται σε κεντρική διαχείριση από τα θεσμικά όργανα, τους οργανισμούς, τις κοινές επιχειρήσεις ή άλλους φορείς της Ευρωπαϊκής Ένωσης και δεν τελεί υπό τον άμεσο ή έμμεσο έλεγχο του κράτους, ισχύει η παρ. 2 του άρθρου 8 του Γ.Α.Κ.</w:t>
      </w:r>
      <w:br/>
      <w:r>
        <w:rPr>
          <w:sz w:val="22"/>
          <w:szCs w:val="22"/>
        </w:rPr>
        <w:t xml:space="preserve">αβ) Η ενίσχυση των καθεστώτων του Προγράμματος CRGR μπορεί να συνδυαστεί και με άλλη κρατική ενίσχυση, με τον περιορισμό ότι το σύνολο της δημόσιας χρηματοδότησης για τις ίδιες επιλέξιμες δαπάνες δεν υπερβαίνει αθροιστικά το πενήντα τοις εκατό (50%) του συνολικού κόστους παραγωγής του οπτικοακουστικού έργου. Το όριο αυτό επεκτείνεται στο εξήντα τοις εκατό (60%) του συνολικού κόστους παραγωγής του οπτικοακουστικού έργου σε περίπτωση διασυνοριακής παραγωγής και στο εκατό τοις εκατό (100%) του συνολικού κόστους παραγωγής του οπτικοακουστικού έργου σε περίπτωση παραγωγής δύσκολου οπτικοακουστικού έργου. Στις ανωτέρω περιπτώσεις συνδυασμού κρατικών ενισχύσεων, το ποσό της χορηγούμενης ενίσχυσης προκύπτει με την αφαίρεση, από το μέγιστο ποσό ενίσχυσης που προκύπτει για το επενδυτικό έργο με βάση τον Γ.Α.Κ., του ποσού των κρατικών ενισχύσεων με το οποίο η παραγωγή έχει ήδη ενισχυθεί.</w:t>
      </w:r>
      <w:br/>
      <w:r>
        <w:rPr>
          <w:sz w:val="22"/>
          <w:szCs w:val="22"/>
        </w:rPr>
        <w:t xml:space="preserve">β) Χαρακτήρας κινήτρου: Οι ενισχύσεις έχουν χαρακτήρα κινήτρου μόνο εφόσον ο δικαιούχος έχει υποβάλει αίτηση χρηματοδότησης επενδυτικών σχεδίων και ένταξης στα καθεστώτα ενίσχυσης, η οποία περιέχει κατ’ ελάχιστον τα στοιχεία της παρ. 2 του άρθρου 6 του Γ.Α.Κ., πριν από την έναρξη των εργασιών του επενδυτικού σχεδίου, όπως η έννοια αυτή ορίζεται στην περ. 23 του άρθρου 2 του Γ.Α.Κ., περί έναρξης των εργασιών.</w:t>
      </w:r>
      <w:br/>
      <w:r>
        <w:rPr>
          <w:sz w:val="22"/>
          <w:szCs w:val="22"/>
        </w:rPr>
        <w:t xml:space="preserve">5. Στα καθεστώτα ενίσχυσης του Προγράμματος CRGR δεν μπορούν να ενταχθούν επενδυτικά σχέδια φορέων για τους οποίους εκκρεμεί διαδικασία ανάκτησης ενισχύσεων, ύστερα από προηγούμενη απόφαση της Ευρωπαϊκής Επιτροπής, με την οποία οι ενισχύσεις αυτές έχουν κηρυχθεί παράνομες και ασυμβίβαστες προς την εσωτερική αγορά, σύμφωνα με την παρ. 4 του άρθρου 1 του Γ.Α.Κ., περί πεδίου εφαρμογής.</w:t>
      </w:r>
      <w:br/>
      <w:r>
        <w:rPr>
          <w:sz w:val="22"/>
          <w:szCs w:val="22"/>
        </w:rPr>
        <w:t xml:space="preserve">6. Οι ενισχύσεις δεν προορίζονται αποκλειστικά για συγκεκριμένες δραστηριότητες παραγωγής ούτε για επιμέρους τμήματα της αξιακής αλυσίδας της παραγωγής. Οι ενισχύσεις για υποδομές κινηματογραφικών στούντιο δεν είναι επιλέξιμες στα καθεστώτα που βασίζονται στο άρθρο 54 του Γ.Α.Κ., περί καθεστώτων ενισχύσεων για οπτικοακουστικά έργα.</w:t>
      </w:r>
      <w:br/>
      <w:r>
        <w:rPr>
          <w:sz w:val="22"/>
          <w:szCs w:val="22"/>
        </w:rPr>
        <w:t xml:space="preserve">7. Για την εφαρμογή των καθεστώτων ενίσχυσης του παρόντος, οι πόροι που διατίθενται απευθείας από προγράμματα της Ευρωπαϊκής Ένωσης, χωρίς τη συμμετοχή των κρατών μελών στην απόφαση ανάθεσης, δεν συνιστούν κρατική ενίσχυση και η προερχόμενη από αυτά ενίσχυση δεν συνυπολογίζεται για τους σκοπούς της τήρησης των ανώτατων ορίων ενίσχυσης του παρόντος, με την προϋπόθεση ότι το συνολικό ποσό της δημόσιας χρηματοδότησης που χορηγείται για τις ίδιες επιλέξιμες δαπάνες δεν υπερβαίνει το πλέον ευνοϊκό ποσοστό χρηματοδότησης που καθορίζουν οι ισχύοντες κανόνες της ενωσιακής νομοθεσίας.</w:t>
      </w:r>
    </w:p>
    <w:p>
      <w:pPr>
        <w:jc w:val="both"/>
      </w:pPr>
      <w:r>
        <w:rPr>
          <w:sz w:val="22"/>
          <w:szCs w:val="22"/>
        </w:rPr>
        <w:t xml:space="preserve">Άρθρο 77</w:t>
      </w:r>
      <w:br/>
      <w:r>
        <w:rPr>
          <w:sz w:val="22"/>
          <w:szCs w:val="22"/>
        </w:rPr>
        <w:t xml:space="preserve">Ορισμοί του Προγράμματος Cash Rebate Greece</w:t>
      </w:r>
    </w:p>
    <w:p>
      <w:pPr>
        <w:jc w:val="both"/>
      </w:pPr>
      <w:r>
        <w:rPr>
          <w:sz w:val="22"/>
          <w:szCs w:val="22"/>
        </w:rPr>
        <w:t xml:space="preserve">1. Για τους σκοπούς του παρόντος Κεφαλαίου ισχύουν οι ορισμοί του άρθρου 2 του Γ.Α.Κ., καθώς και οι ακόλουθοι ορισμοί:</w:t>
      </w:r>
      <w:br/>
      <w:r>
        <w:rPr>
          <w:sz w:val="22"/>
          <w:szCs w:val="22"/>
        </w:rPr>
        <w:t xml:space="preserve">α) «Ανάκτηση»: η επιστροφή από τον λαβόντα των αχρεωστήτως ή παρανόμως καταβληθέντων ποσών.</w:t>
      </w:r>
      <w:br/>
      <w:r>
        <w:rPr>
          <w:sz w:val="22"/>
          <w:szCs w:val="22"/>
        </w:rPr>
        <w:t xml:space="preserve">β) «Αυτοτελές οπτικοακουστικό έργο»: κάθε κινηματογραφικό, τηλεοπτικό, διαδραστικό ή ψηφιακό έργο με ενιαία δημιουργική, δραματουργική, παραγωγική ή λειτουργική ταυτότητα, συμπεριλαμβανομένων κινηματογραφικών ή τηλεοπτικών έργων μυθοπλασίας, δημιουργικής τεκμηρίωσης (ντοκιμαντέρ), δραματοποιημένης πραγματικότητας (scripted reality), κινουμένων σχεδίων (animation), κινηματογραφικών σχεδίων σε επεισόδια ή μέρη, επεισοδίων ή κύκλων επεισοδίων τηλεοπτικών σειρών ή προγραμμάτων, επιμορφωτικών, ψυχαγωγικών ή διαγωνιστικών τηλεοπτικών προγραμμάτων που προάγουν τον ελληνικό ή/και ευρωπαϊκό πολιτισμό, διαδραστικού οπτικοακουστικού περιεχομένου, περιεχομένου εικονικής, επαυξημένης ή εκτεταμένης πραγματικότητας (virtual/augmented/extended reality-VR/AR/XR), ψηφιακών παιχνιδιών πολιτιστικού χαρακτήρα, όπως, μεταξύ άλλων, ψυχαγωγικού χαρακτήρα, καθώς και των εργασιών μεταπαραγωγής των ανωτέρω έργων. Τα ανωτέρω αυτοτελή οπτικοακουστικά έργα παράγονται για εμπειρία χρήστη σε γραμμική ή μη γραμμική μορφή, με διαδραστικές ή μη εφαρμογές και με δυνατότητα διανομής, προβολής, παρουσίασης ή εκμετάλλευσης σε πολλαπλές πλατφόρμες ή φυσικά και εικονικά περιβάλλοντα, όπως ελεύθερη επίγεια τηλεοπτική μετάδοση, συνδρομητική τηλεοπτική μετάδοση, διαδικτυακή τηλεόραση, παροχή υπηρεσιών κατά παραγγελία, κινηματογραφικές αίθουσες προβολής, ιστότοποι διανομής και προβολής τηλεοπτικών και κινηματογραφικών έργων, μέσα κοινωνικής δικτύωσης, ηλεκτρονικοί υπολογιστές, ταμπλέτες, παιχνιδομηχανές και κινητά τηλέφωνα, καθώς και μέσω τεχνολογιών εικονικής, επαυξημένης ή εκτεταμένης πραγματικότητας (VR/AR/XR), καθηλωτικών εμπειριών (immersive) ή άλλων αναδυόμενων ψηφιακών τεχνολογιών.</w:t>
      </w:r>
      <w:br/>
      <w:r>
        <w:rPr>
          <w:sz w:val="22"/>
          <w:szCs w:val="22"/>
        </w:rPr>
        <w:t xml:space="preserve">γ) «Αχρεωστήτως καταβληθέν ποσό»: κάθε δαπάνη η οποία δεν αντιστοιχεί σε ίσης αξίας παραδοθέν προϊόν, έργο ή υπηρεσία, σύμφωνα με τους όρους της απόφασης ένταξης χρηματοδότησης, με την οποία αναλήφθηκε η υποχρέωση υλοποίησης του επενδυτικού σχεδίου.</w:t>
      </w:r>
      <w:br/>
      <w:r>
        <w:rPr>
          <w:sz w:val="22"/>
          <w:szCs w:val="22"/>
        </w:rPr>
        <w:t xml:space="preserve">δ) «Δύσκολο οπτικοακουστικό έργο»: το αυτοτελές οπτικοακουστικό έργο που πληροί μία (1) τουλάχιστον από τις ακόλουθες προϋποθέσεις:</w:t>
      </w:r>
      <w:br/>
      <w:r>
        <w:rPr>
          <w:sz w:val="22"/>
          <w:szCs w:val="22"/>
        </w:rPr>
        <w:t xml:space="preserve">δα) το πρωτότυπο έργο είναι στην ελληνική γλώσσα. Χρήση μικρής ή περιορισμένης έκτασης άλλων γλωσσών δεν αναιρεί την πλήρωση της προϋπόθεσης αυτής,</w:t>
      </w:r>
      <w:br/>
      <w:r>
        <w:rPr>
          <w:sz w:val="22"/>
          <w:szCs w:val="22"/>
        </w:rPr>
        <w:t xml:space="preserve">δβ) αποτελεί το πρώτο ή το δεύτερο έργο σκηνοθέτη,</w:t>
      </w:r>
      <w:br/>
      <w:r>
        <w:rPr>
          <w:sz w:val="22"/>
          <w:szCs w:val="22"/>
        </w:rPr>
        <w:t xml:space="preserve">δγ) έχει συνολικό προϋπολογισμό έως ένα εκατομμύριο (1.000.000) ευρώ ή</w:t>
      </w:r>
      <w:br/>
      <w:r>
        <w:rPr>
          <w:sz w:val="22"/>
          <w:szCs w:val="22"/>
        </w:rPr>
        <w:t xml:space="preserve">δδ) αποτελεί ταινία μικρού μήκους ή έργο τεκμηρίωσης (ντοκιμαντέρ).</w:t>
      </w:r>
      <w:br/>
      <w:r>
        <w:rPr>
          <w:sz w:val="22"/>
          <w:szCs w:val="22"/>
        </w:rPr>
        <w:t xml:space="preserve">ε) «Έναρξη εργασιών επενδυτικού σχεδίου»: το πρώτο χρονικά σημείο μεταξύ της έναρξης των εργασιών παραγωγής ή μεταπαραγωγής που αφορούν στην επένδυση και πραγματοποιούνται στην ελληνική επικράτεια και της πρώτης νομικά δεσμευτικής ανάληψης υποχρέωσης για την παραγγελία ή μίσθωση εξοπλισμού ή άλλης ανάληψης υποχρέωσης στην ελληνική επικράτεια που καθιστά μη αναστρέψιμη την επένδυση. Η αγορά γης και οι προπαρασκευαστικές εργασίες, όπως η λήψη αδειών και η εκπόνηση μελετών σκοπιμότητας, δεν θεωρούνται έναρξη εργασιών του επενδυτικού σχεδίου.</w:t>
      </w:r>
      <w:br/>
      <w:r>
        <w:rPr>
          <w:sz w:val="22"/>
          <w:szCs w:val="22"/>
        </w:rPr>
        <w:t xml:space="preserve">στ) «Επενδυτικό σχέδιο»: η παραγωγή αυτοτελούς οπτικοακουστικού έργου που υλοποιείται στην ελληνική επικράτεια, εμπίπτει στους κλάδους οικονομικών δραστηριοτήτων που αναφέρονται στις προκηρύξεις των καθεστώτων ενίσχυσης και αφορά σε όλα τα στάδια της διαδικασίας παραγωγής του οπτικοακουστικού έργου, συμπεριλαμβανομένης της μεταπαραγωγής, ανεξαρτήτως του τρόπου διανομής του και του μέσου μετάδοσης και προβολής του προς τον τελικό αποδέκτη ή θεατή.</w:t>
      </w:r>
      <w:br/>
      <w:r>
        <w:rPr>
          <w:sz w:val="22"/>
          <w:szCs w:val="22"/>
        </w:rPr>
        <w:t xml:space="preserve">ζ) «Επιλέξιμες δαπάνες»: οι δαπάνες για την παραγωγή και τη μεταπαραγωγή οπτικοακουστικού έργου, οι οποίες πραγματοποιούνται στην ελληνική επικράτεια και δεν υπερβαίνουν το ογδόντα τοις εκατό (80%) του συνολικού κόστους όλων των εργασιών παραγωγής του οπτικοακουστικού έργου (επιλέξιμο κόστος παραγωγής).</w:t>
      </w:r>
      <w:br/>
      <w:r>
        <w:rPr>
          <w:sz w:val="22"/>
          <w:szCs w:val="22"/>
        </w:rPr>
        <w:t xml:space="preserve">η) «Ημερομηνία έναρξης επιλεξιμότητας δαπανών»: για όλα τα καθεστώτα ενίσχυσης του Προγράμματος CRGR, η ημερομηνία υποβολής της αίτησης χρηματοδότησης επενδυτικών σχεδίων και ένταξης στα καθεστώτα ενίσχυσης. Στις δαπάνες αυτές δεν συμπεριλαμβάνονται δαπάνες παραγωγής του πιλότου αυτοτελούς οπτικοακουστικού έργου. Σε περίπτωση έναρξης των εργασιών επενδυτικού σχεδίου πριν από την προαναφερόμενη ημερομηνία υποβολής της αίτησης χρηματοδότησης επενδυτικών σχεδίων και ένταξης στα καθεστώτα ενίσχυσης, εξαιρουμένων των προπαρασκευαστικών ενεργειών παραγωγής, οι οποίες δεν συνιστούν γεγονός έναρξης επενδυτικού σχεδίου, το σύνολο του επενδυτικού σχεδίου καθίσταται μη επιλέξιμο προς χρηματοδότηση σε όλα τα καθεστώτα ενίσχυσης του παρόντος.</w:t>
      </w:r>
      <w:br/>
      <w:r>
        <w:rPr>
          <w:sz w:val="22"/>
          <w:szCs w:val="22"/>
        </w:rPr>
        <w:t xml:space="preserve">θ) «Λήξη επενδυτικού σχεδίου»: η ημερομηνία υποβολής της αίτησης για ορισμό ορκωτού λογιστή ή ελεγκτικής εταιρείας, προκειμένου να ξεκινήσει η διαδικασία πιστοποίησης δαπανών, η οποία αναφέρεται στην απόφαση ένταξης χρηματοδότησης του επενδυτικού σχεδίου. Η ημερομηνία λήξης του επενδυτικού σχεδίου δεν μπορεί να υπερβαίνει τα τρία (3) έτη από την ημερομηνία έναρξής του, εκτός εάν έχει επέλθει παράταση του χρόνου λήξης του, σύμφωνα με την περ. α) του πρώτου εδαφίου της παρ. 8 του άρθρου 79. Σε περίπτωση ολοκλήρωσης του επενδυτικού σχεδίου νωρίτερα από τον χρόνο λήξης του, η αιτούσα επιχείρηση δύναται να υποβάλει αίτημα για επαλήθευση και πιστοποίηση, χωρίς να γεννάται αξίωση για την καταβολή της ενίσχυσης νωρίτερα από την ημερομηνία λήξης του επενδυτικού σχεδίου.</w:t>
      </w:r>
      <w:br/>
      <w:r>
        <w:rPr>
          <w:sz w:val="22"/>
          <w:szCs w:val="22"/>
        </w:rPr>
        <w:t xml:space="preserve">ι) «Παραγωγή οπτικοακουστικού έργου»: οι οικονομικές δραστηριότητες οι οποίες, σύμφωνα με την ισχύουσα Εθνική Ονοματολογία Οικονομικών Δραστηριοτήτων (Κωδικοί Αριθμοί Δραστηριότητας, Κ.Α.Δ.), περιλαμβάνουν ιδίως τις ακόλουθες κατηγορίες:</w:t>
      </w:r>
      <w:br/>
      <w:r>
        <w:rPr>
          <w:sz w:val="22"/>
          <w:szCs w:val="22"/>
        </w:rPr>
        <w:t xml:space="preserve">ια) παραγωγή οπτικοακουστικών έργων,</w:t>
      </w:r>
      <w:br/>
      <w:r>
        <w:rPr>
          <w:sz w:val="22"/>
          <w:szCs w:val="22"/>
        </w:rPr>
        <w:t xml:space="preserve">ιβ) διανομή, εκμετάλλευση και προβολή οπτικοακουστικού περιεχομένου,</w:t>
      </w:r>
      <w:br/>
      <w:r>
        <w:rPr>
          <w:sz w:val="22"/>
          <w:szCs w:val="22"/>
        </w:rPr>
        <w:t xml:space="preserve">ιγ) παραγωγή πρωτοτύπων λογισμικού παιχνιδιών υπολογιστή,</w:t>
      </w:r>
      <w:br/>
      <w:r>
        <w:rPr>
          <w:sz w:val="22"/>
          <w:szCs w:val="22"/>
        </w:rPr>
        <w:t xml:space="preserve">ιδ) έκδοση παιχνιδιών υπολογιστή,</w:t>
      </w:r>
      <w:br/>
      <w:r>
        <w:rPr>
          <w:sz w:val="22"/>
          <w:szCs w:val="22"/>
        </w:rPr>
        <w:t xml:space="preserve">ιε) ψηφιακά, διαδραστικά και εμβυθιστικά οπτικοακουστικά μέσα (immersive),</w:t>
      </w:r>
      <w:br/>
      <w:r>
        <w:rPr>
          <w:sz w:val="22"/>
          <w:szCs w:val="22"/>
        </w:rPr>
        <w:t xml:space="preserve">ιστ) δημιουργικές, καλλιτεχνικές και τεχνικές υπηρεσίες συνδεδεμένες με την οπτικοακουστική παραγωγή και</w:t>
      </w:r>
      <w:br/>
      <w:r>
        <w:rPr>
          <w:sz w:val="22"/>
          <w:szCs w:val="22"/>
        </w:rPr>
        <w:t xml:space="preserve">ιζ) πολιτιστική κληρονομιά και οπτικοακουστική τεχνολογία.</w:t>
      </w:r>
      <w:br/>
      <w:r>
        <w:rPr>
          <w:sz w:val="22"/>
          <w:szCs w:val="22"/>
        </w:rPr>
        <w:t xml:space="preserve">ια) «Προβληματική επιχείρηση»: η επιχείρηση που ορίζεται στην περ. 18 του άρθρου 2 του Γ.Α.Κ.</w:t>
      </w:r>
      <w:br/>
      <w:r>
        <w:rPr>
          <w:sz w:val="22"/>
          <w:szCs w:val="22"/>
        </w:rPr>
        <w:t xml:space="preserve">ιβ) «Συνολικός προϋπολογισμός επενδυτικού σχεδίου»: το σύνολο των δαπανών προπαραγωγής, παραγωγής και μεταπαραγωγής του έργου, ανεξαρτήτως της χώρας πραγματοποίησής τους.</w:t>
      </w:r>
      <w:br/>
      <w:r>
        <w:rPr>
          <w:sz w:val="22"/>
          <w:szCs w:val="22"/>
        </w:rPr>
        <w:t xml:space="preserve">ιγ) «Χορηγούσα Αρχή των καθεστώτων ενίσχυσης του Προγράμματος CRGR»: το νομικό πρόσωπο ιδιωτικού δικαίου με την επωνυμία «Εθνικό Κέντρο Κινηματογράφου, Οπτικοακουστικών Μέσων και Δημιουργίας Α.Ε.».</w:t>
      </w:r>
      <w:br/>
      <w:r>
        <w:rPr>
          <w:sz w:val="22"/>
          <w:szCs w:val="22"/>
        </w:rPr>
        <w:t xml:space="preserve">2. Με τις προκηρύξεις των καθεστώτων ενίσχυσης του άρθρου 83 καθορίζονται οι συγκεκριμένοι Κ.Α.Δ. που θεωρούνται επιλέξιμοι για ένταξη σε αυτά.</w:t>
      </w:r>
      <w:br/>
      <w:r>
        <w:rPr>
          <w:sz w:val="22"/>
          <w:szCs w:val="22"/>
        </w:rPr>
        <w:t xml:space="preserve">3. Οι ορισμοί της παρ. 1 δύνανται να εξειδικεύονται περαιτέρω στις προκηρύξεις των καθεστώτων ενίσχυσης του Προγράμματος CRGR.</w:t>
      </w:r>
    </w:p>
    <w:p>
      <w:pPr>
        <w:jc w:val="both"/>
      </w:pPr>
      <w:r>
        <w:rPr>
          <w:sz w:val="22"/>
          <w:szCs w:val="22"/>
        </w:rPr>
        <w:t xml:space="preserve">Άρθρο 78</w:t>
      </w:r>
      <w:br/>
      <w:r>
        <w:rPr>
          <w:sz w:val="22"/>
          <w:szCs w:val="22"/>
        </w:rPr>
        <w:t xml:space="preserve">Βασικά χαρακτηριστικά του προγράμματος Cash Rebate Greece</w:t>
      </w:r>
      <w:br/>
      <w:r>
        <w:rPr>
          <w:sz w:val="22"/>
          <w:szCs w:val="22"/>
        </w:rPr>
        <w:t xml:space="preserve">1. Τα επενδυτικά σχέδια όλων των καθεστώτων ενίσχυσης ενισχύονται μέσω της παροχής επενδυτικού κινήτρου, το οποίο συνίσταται στην επιχορήγηση από το Ελληνικό Δημόσιο χρηματικού ποσού για την κάλυψη τμήματος των επιλέξιμων δαπανών του επενδυτικού σχεδίου. Το ποσό της επιχορήγησης υπολογίζεται, μετά από την πιστοποιημένη λήξη του επενδυτικού σχεδίου ή φάσεων αυτού, ως σταθερό ποσοστό σαράντα τοις εκατό (40%) επί της αξίας των επιλέξιμων δαπανών της παραγωγής.</w:t>
      </w:r>
      <w:br/>
      <w:r>
        <w:rPr>
          <w:sz w:val="22"/>
          <w:szCs w:val="22"/>
        </w:rPr>
        <w:t xml:space="preserve">2. Οι επιλέξιμες δαπάνες όλων των καθεστώτων ενίσχυσης του Προγράμματος CRGR διακρίνονται σε:</w:t>
      </w:r>
      <w:br/>
      <w:r>
        <w:rPr>
          <w:sz w:val="22"/>
          <w:szCs w:val="22"/>
        </w:rPr>
        <w:t xml:space="preserve">α) δαπάνες βασικού δημιουργικού κόστους παραγωγής (above the line), το οποίο δεν μπορεί να υπερβαίνει το τριάντα τοις εκατό (30%) του συνολικού επιλέξιμου κόστους,</w:t>
      </w:r>
      <w:br/>
      <w:r>
        <w:rPr>
          <w:sz w:val="22"/>
          <w:szCs w:val="22"/>
        </w:rPr>
        <w:t xml:space="preserve">β) τεχνικές και εκτελεστικές δαπάνες παραγωγής (below the line),</w:t>
      </w:r>
      <w:br/>
      <w:r>
        <w:rPr>
          <w:sz w:val="22"/>
          <w:szCs w:val="22"/>
        </w:rPr>
        <w:t xml:space="preserve">γ) δαπάνες μεταπαραγωγής,</w:t>
      </w:r>
      <w:br/>
      <w:r>
        <w:rPr>
          <w:sz w:val="22"/>
          <w:szCs w:val="22"/>
        </w:rPr>
        <w:t xml:space="preserve">δ) λοιπές δαπάνες παραγωγής,</w:t>
      </w:r>
      <w:br/>
      <w:r>
        <w:rPr>
          <w:sz w:val="22"/>
          <w:szCs w:val="22"/>
        </w:rPr>
        <w:t xml:space="preserve">ε) δαπάνες που αφορούν στη βελτίωση της προσβασιμότητας για τα άτομα με αναπηρία και</w:t>
      </w:r>
      <w:br/>
      <w:r>
        <w:rPr>
          <w:sz w:val="22"/>
          <w:szCs w:val="22"/>
        </w:rPr>
        <w:t xml:space="preserve">στ) δαπάνες βιώσιμης κινηματογραφίας.</w:t>
      </w:r>
      <w:br/>
      <w:r>
        <w:rPr>
          <w:sz w:val="22"/>
          <w:szCs w:val="22"/>
        </w:rPr>
        <w:t xml:space="preserve">3. Τα ασφάλιστρα και τα έξοδα παροχής εγγυήσεων προσμετρώνται στο σύνολό τους, με μέγιστη επιλέξιμη δαπάνη την αντίστοιχη του πέντε τοις εκατό (5%) του συνολικού επιλέξιμου κόστους παραγωγής. Δεν υπολογίζονται στο συνολικό επιλέξιμο κόστος παραγωγής:</w:t>
      </w:r>
      <w:br/>
      <w:r>
        <w:rPr>
          <w:sz w:val="22"/>
          <w:szCs w:val="22"/>
        </w:rPr>
        <w:t xml:space="preserve">α) οι δαπάνες για χρηματοοικονομικά περιουσιακά στοιχεία, πάγια περιουσιακά στοιχεία και αποσβέσεις αυτών, όπως τεχνολογικός εξοπλισμός, οικόπεδα και κτίρια, κόστος δανεισμού και τραπεζικά έξοδα και</w:t>
      </w:r>
      <w:br/>
      <w:r>
        <w:rPr>
          <w:sz w:val="22"/>
          <w:szCs w:val="22"/>
        </w:rPr>
        <w:t xml:space="preserve">β) τα έξοδα ενεργειών προώθησης, προβολής και επικοινωνίας.</w:t>
      </w:r>
      <w:br/>
      <w:r>
        <w:rPr>
          <w:sz w:val="22"/>
          <w:szCs w:val="22"/>
        </w:rPr>
        <w:t xml:space="preserve">4. Στην περίπτωση οπτικοακουστικών έργων με επιλέξιμες δαπάνες άνω των οκτώ εκατομμυρίων (8.000.000) ευρώ, για τις δαπάνες βασικού δημιουργικού κόστους παραγωγής που αφορούν σε αμοιβές σκηνοθέτη και σε αμοιβές των δύο (2) πρωταγωνιστικών ρόλων (lead cast) ή σε αμοιβές σχεδιαστή κινουμένων σχεδίων (animator), επιτρέπεται η λήψη παραστατικών που έχουν εκδοθεί από φυσικά πρόσωπα, εταιρείες ή άλλες νομικές οντότητες με καταστατική έδρα ή μόνιμη εγκατάσταση σε χώρα της αλλοδαπής, υπό την προϋπόθεση ότι δεν πρόκειται για κράτος μη συνεργάσιμο κατά την έννοια της παρ. 3 του άρθρου 65 του Κώδικα Φορολογίας Εισοδήματος (ν. 4172/2013, A‘ 167). Η αξία των αλλοδαπών παραστατικών του πρώτου εδαφίου, μη συμπεριλαμβανομένου του φόρου προστιθέμενης αξίας, δεν δύναται να υπερβαίνει το είκοσι τοις εκατό (20%) του συνόλου των επιλέξιμων δαπανών του επενδυτικού σχεδίου.</w:t>
      </w:r>
      <w:br/>
      <w:r>
        <w:rPr>
          <w:sz w:val="22"/>
          <w:szCs w:val="22"/>
        </w:rPr>
        <w:t xml:space="preserve">5. Σε όλα τα καθεστώτα ενίσχυσης, οι αιτούντες και οι δικαιούχοι οφείλουν:</w:t>
      </w:r>
      <w:br/>
      <w:r>
        <w:rPr>
          <w:sz w:val="22"/>
          <w:szCs w:val="22"/>
        </w:rPr>
        <w:t xml:space="preserve">α) να διαθέτουν Κ.Α.Δ. που θεωρείται επιλέξιμος από τη σχετική προκήρυξη του άρθρου 82,</w:t>
      </w:r>
      <w:br/>
      <w:r>
        <w:rPr>
          <w:sz w:val="22"/>
          <w:szCs w:val="22"/>
        </w:rPr>
        <w:t xml:space="preserve">β) να μην είναι προβληματικές επιχειρήσεις, κατά την έννοια της περ. 18 του άρθρου 2 του Γ.Α.Κ., περί ορισμών,</w:t>
      </w:r>
      <w:br/>
      <w:r>
        <w:rPr>
          <w:sz w:val="22"/>
          <w:szCs w:val="22"/>
        </w:rPr>
        <w:t xml:space="preserve">γ) να μην έχουν προβεί σε παύση της ίδιας ή παρεμφερούς δραστηριότητας εντός του Ευρωπαϊκού Οικονομικού Χώρου κατά τα δύο (2) έτη πριν από την υποβολή της αίτησής τους για επενδυτική ενίσχυση και</w:t>
      </w:r>
      <w:br/>
      <w:r>
        <w:rPr>
          <w:sz w:val="22"/>
          <w:szCs w:val="22"/>
        </w:rPr>
        <w:t xml:space="preserve">δ) να μην αιτούνται την ένταξη επενδυτικών σχεδίων που πραγματοποιούνται με πρωτοβουλία και για λογαριασμό του δημόσιου τομέα ή του τηλεοπτικού σταθμού της Βουλής των Ελλήνων, με εξαίρεση την ανώνυμη εταιρεία με την επωνυμία «Ελληνική Ραδιοφωνία Τηλεόραση Ανώνυμη Εταιρεία (Ε.Ρ.Τ. Α.Ε.)», βάσει σύμβασης εκτέλεσης έργου, παραχώρησης ή παροχής υπηρεσιών.</w:t>
      </w:r>
      <w:br/>
      <w:r>
        <w:rPr>
          <w:sz w:val="22"/>
          <w:szCs w:val="22"/>
        </w:rPr>
        <w:t xml:space="preserve">6. Οι επιχειρήσεις που υποβάλλουν αίτηση χρηματοδότησης επενδυτικών σχεδίων και ένταξης στα καθεστώτα ενίσχυσης πρέπει, κατά την έναρξη των εργασιών του επενδυτικού σχεδίου και κατά τη χορήγηση της ενίσχυσης, να έχουν μία από τις ακόλουθες νομικές μορφές:</w:t>
      </w:r>
      <w:br/>
      <w:r>
        <w:rPr>
          <w:sz w:val="22"/>
          <w:szCs w:val="22"/>
        </w:rPr>
        <w:t xml:space="preserve">α) ατομική επιχείρηση,</w:t>
      </w:r>
      <w:br/>
      <w:r>
        <w:rPr>
          <w:sz w:val="22"/>
          <w:szCs w:val="22"/>
        </w:rPr>
        <w:t xml:space="preserve">β) νομικό πρόσωπο ή άλλη νομική οντότητα με εμπορική δραστηριότητα,</w:t>
      </w:r>
      <w:br/>
      <w:r>
        <w:rPr>
          <w:sz w:val="22"/>
          <w:szCs w:val="22"/>
        </w:rPr>
        <w:t xml:space="preserve">γ) συνεταιρισμός ή</w:t>
      </w:r>
      <w:br/>
      <w:r>
        <w:rPr>
          <w:sz w:val="22"/>
          <w:szCs w:val="22"/>
        </w:rPr>
        <w:t xml:space="preserve">δ) κοινοπραξία καταχωρισμένη στο Γενικό Εμπορικό Μητρώο, με δήλωση δραστηριότητας στους σχετικούς Κ.Α.Δ. που αναφέρονται στις προκηρύξεις των καθεστώτων ενίσχυσης.</w:t>
      </w:r>
      <w:br/>
      <w:r>
        <w:rPr>
          <w:sz w:val="22"/>
          <w:szCs w:val="22"/>
        </w:rPr>
        <w:t xml:space="preserve">Εταιρείες υπό ίδρυση ή υπό συγχώνευση οφείλουν να έχουν ολοκληρώσει τις διαδικασίες δημοσιότητας πριν από την υποβολή του αιτήματος καταβολής της ενίσχυσης του επενδυτικού σχεδίου.</w:t>
      </w:r>
      <w:br/>
      <w:r>
        <w:rPr>
          <w:sz w:val="22"/>
          <w:szCs w:val="22"/>
        </w:rPr>
        <w:t xml:space="preserve">6. Δικαιούχοι ενίσχυσης στο καθεστώς FTV δύνανται να είναι, εφόσον πληρούν τις προϋποθέσεις της παρ. 3:</w:t>
      </w:r>
      <w:br/>
      <w:r>
        <w:rPr>
          <w:sz w:val="22"/>
          <w:szCs w:val="22"/>
        </w:rPr>
        <w:t xml:space="preserve">α) Στη Δράση Film Greece:</w:t>
      </w:r>
      <w:br/>
      <w:r>
        <w:rPr>
          <w:sz w:val="22"/>
          <w:szCs w:val="22"/>
        </w:rPr>
        <w:t xml:space="preserve">αα) επιχειρήσεις, ανεξαρτήτως μεγέθους, που είναι εγκατεστημένες, διαθέτουν υποκατάστημα ή πρόκειται να δραστηριοποιηθούν στην ελληνική επικράτεια κατά τον χρόνο υποβολής της αίτησης χρηματοδότησης επενδυτικών σχεδίων και ένταξης στα καθεστώτα ενίσχυσης και έως την ολοκλήρωση των ελέγχων, εξαιρουμένων των αδειοδοτημένων, σύμφωνα με τον ν. 4339/2015 (A’ 133), παρόχων περιεχομένου επίγειας ψηφιακής τηλεοπτικής ευρυεκπομπής ελεύθερης λήψης εθνικής εμβέλειας,</w:t>
      </w:r>
      <w:br/>
      <w:r>
        <w:rPr>
          <w:sz w:val="22"/>
          <w:szCs w:val="22"/>
        </w:rPr>
        <w:t xml:space="preserve">αβ) αλλοδαπές επιχειρήσεις παραγωγής, ανεξαρτήτως μεγέθους, με έδρα σε χώρες που δεν χαρακτηρίζονται μη συνεργάσιμες, σύμφωνα με την παρ. 3 του άρθρου 65 του Κώδικα Φορολογίας Εισοδήματος, εφόσον συμβάλλονται με επιχείρηση εγκατεστημένη ή δραστηριοποιούμενη στην Ελλάδα για την εκτέλεση μέρους ή του συνόλου της παραγωγής. Η αίτηση χρηματοδότησης υποβάλλεται από την ελληνική επιχείρηση και η ενίσχυση καταβάλλεται στον δικαιούχο που ορίζεται ρητά στη μεταξύ τους σύμβαση και στην αίτηση χρηματοδότησης επενδυτικών σχεδίων και ένταξης στα καθεστώτα ενίσχυσης. Για τις διασυνοριακές συμπαραγωγές, η αίτηση χρηματοδότησης επενδυτικών σχεδίων και ένταξης στα καθεστώτα ενίσχυσης υποβάλλεται από την ελληνική επιχείρηση παραγωγής. Επιτρέπεται μόνο η άπαξ χρήση της ίδιας δημόσιας δαπάνης για παρόμοιο όφελος εντός της ίδιας διασυνοριακής παραγωγής.</w:t>
      </w:r>
      <w:br/>
      <w:r>
        <w:rPr>
          <w:sz w:val="22"/>
          <w:szCs w:val="22"/>
        </w:rPr>
        <w:t xml:space="preserve">β) Στη Δράση TV Greece:</w:t>
      </w:r>
      <w:br/>
      <w:r>
        <w:rPr>
          <w:sz w:val="22"/>
          <w:szCs w:val="22"/>
        </w:rPr>
        <w:t xml:space="preserve">βα) αδειοδοτημένοι, σύμφωνα με τον ν. 4339/2015, πάροχοι περιεχομένου επίγειας ψηφιακής τηλεοπτικής ευρυεκπομπής ελεύθερης λήψης εθνικής εμβέλειας ή</w:t>
      </w:r>
      <w:br/>
      <w:r>
        <w:rPr>
          <w:sz w:val="22"/>
          <w:szCs w:val="22"/>
        </w:rPr>
        <w:t xml:space="preserve">ββ) εταιρείες παραγωγής που είναι συνδεδεμένες και ανήκουν στον ίδιο όμιλο με αδειοδοτημένο πάροχο της υποπερ. βα).</w:t>
      </w:r>
      <w:br/>
      <w:r>
        <w:rPr>
          <w:sz w:val="22"/>
          <w:szCs w:val="22"/>
        </w:rPr>
        <w:t xml:space="preserve">Η αίτηση χρηματοδότησης επενδυτικών σχεδίων και ένταξης στα καθεστώτα ενίσχυσης στη Δράση TV Greece υποβάλλεται:</w:t>
      </w:r>
      <w:br/>
      <w:r>
        <w:rPr>
          <w:sz w:val="22"/>
          <w:szCs w:val="22"/>
        </w:rPr>
        <w:t xml:space="preserve">i. απευθείας από τον δικαιούχο των υποπερ. βα) ή ββ) ή</w:t>
      </w:r>
      <w:br/>
      <w:r>
        <w:rPr>
          <w:sz w:val="22"/>
          <w:szCs w:val="22"/>
        </w:rPr>
        <w:t xml:space="preserve">ii. από εταιρείες παραγωγής, ανεξαρτήτως μεγέθους, οι οποίες αναλαμβάνουν την εκτέλεση παραγωγής για λογαριασμό δικαιούχου των υποπερ. βα) ή ββ).</w:t>
      </w:r>
      <w:br/>
      <w:r>
        <w:rPr>
          <w:sz w:val="22"/>
          <w:szCs w:val="22"/>
        </w:rPr>
        <w:t xml:space="preserve">Στην περίπτωση αυτή, η ενίσχυση καταβάλλεται στον δικαιούχο που ορίζεται ρητά στη σύμβαση ανάληψης εκτέλεσης παραγωγής και στην αίτηση χρηματοδότησης, ήτοι, κατά περίπτωση, στον αδειοδοτημένο πάροχο της υποπερ. βα) ή στη συνδεδεμένη εταιρεία παραγωγής της υποπερ. ββ).</w:t>
      </w:r>
      <w:br/>
      <w:r>
        <w:rPr>
          <w:sz w:val="22"/>
          <w:szCs w:val="22"/>
        </w:rPr>
        <w:t xml:space="preserve">7. Επιλέξιμα επενδυτικά σχέδια στο καθεστώς FTV GREECE, εφόσον πληρούν τις προϋποθέσεις του παρόντος νόμου, τα πολιτιστικά κριτήρια, όπως αυτά καθορίζονται στις προκηρύξεις των καθεστώτων ενίσχυσης του άρθρου 82, και την Ελάχιστη Εγχώρια Επιλέξιμη Δαπάνη (Ε.Ε.Ε.Δ.), ως το ελάχιστο ποσό ή ποσοστό επιλέξιμων δαπανών επί του συνολικού προϋπολογισμού που υλοποιείται στην ελληνική επικράτεια, σύμφωνα με την παρ. 4 του άρθρου 54 του Γ.Α.Κ., περί υποχρεώσεων εδαφικότητας δαπανών, δύνανται να είναι τα ακόλουθα είδη αυτοτελών οπτικοακουστικών έργων:</w:t>
      </w:r>
      <w:br/>
      <w:r>
        <w:rPr>
          <w:sz w:val="22"/>
          <w:szCs w:val="22"/>
        </w:rPr>
        <w:t xml:space="preserve">α) Οπτικοακουστικά έργα κινηματογραφικών ή τηλεοπτικών σχεδίων μυθοπλασίας ή κινουμένων σχεδίων (animation), τα οποία αποτελούν ενιαία αυτοτελή έργα, με Ε.Ε.Ε.Δ.:</w:t>
      </w:r>
      <w:br/>
      <w:r>
        <w:rPr>
          <w:sz w:val="22"/>
          <w:szCs w:val="22"/>
        </w:rPr>
        <w:t xml:space="preserve">αα) σαράντα χιλιάδες (40.000) ευρώ για ενιαία έργα διάρκειας έως εβδομήντα (70) λεπτών και</w:t>
      </w:r>
      <w:br/>
      <w:r>
        <w:rPr>
          <w:sz w:val="22"/>
          <w:szCs w:val="22"/>
        </w:rPr>
        <w:t xml:space="preserve">αβ) διακόσιες χιλιάδες (200.000) ευρώ για ενιαία έργα διάρκειας άνω των εβδομήντα (70) λεπτών.</w:t>
      </w:r>
      <w:br/>
      <w:r>
        <w:rPr>
          <w:sz w:val="22"/>
          <w:szCs w:val="22"/>
        </w:rPr>
        <w:t xml:space="preserve">β) Οπτικοακουστικά έργα κινηματογραφικών ή τηλεοπτικών σχεδίων μυθοπλασίας ή κινουμένων σχεδίων (animation), τα οποία διαιρούνται σε αυτοτελή μέρη ή επεισόδια, κατ’ ανώτατο όριο δεκαέξι (16), διάρκειας έως εβδομήντα (70) λεπτών έκαστο, με Ε.Ε.Ε.Δ. ογδόντα χιλιάδες (80.000) ευρώ ανά παραγόμενο μέρος ή επεισόδιο.</w:t>
      </w:r>
      <w:br/>
      <w:r>
        <w:rPr>
          <w:sz w:val="22"/>
          <w:szCs w:val="22"/>
        </w:rPr>
        <w:t xml:space="preserve">γ) Οπτικοακουστικά έργα κινηματογραφικών ή τηλεοπτικών σχεδίων δημιουργικής τεκμηρίωσης (ντοκιμαντέρ), με Ε.Ε.Ε.Δ.:</w:t>
      </w:r>
      <w:br/>
      <w:r>
        <w:rPr>
          <w:sz w:val="22"/>
          <w:szCs w:val="22"/>
        </w:rPr>
        <w:t xml:space="preserve">γα) σαράντα χιλιάδες (40.000) ευρώ για ενιαία έργα διάρκειας έως εβδομήντα (70) λεπτών,</w:t>
      </w:r>
      <w:br/>
      <w:r>
        <w:rPr>
          <w:sz w:val="22"/>
          <w:szCs w:val="22"/>
        </w:rPr>
        <w:t xml:space="preserve">γβ) εξήντα χιλιάδες (60.000) ευρώ για ενιαία έργα διάρκειας άνω των εβδομήντα (70) λεπτών και</w:t>
      </w:r>
      <w:br/>
      <w:r>
        <w:rPr>
          <w:sz w:val="22"/>
          <w:szCs w:val="22"/>
        </w:rPr>
        <w:t xml:space="preserve">γγ) είκοσι χιλιάδες (20.000) ευρώ ανά παραγόμενο επεισόδιο τηλεοπτικής σειράς, ανεξαρτήτως αριθμού επεισοδίων.</w:t>
      </w:r>
      <w:br/>
      <w:r>
        <w:rPr>
          <w:sz w:val="22"/>
          <w:szCs w:val="22"/>
        </w:rPr>
        <w:t xml:space="preserve">δ) Οπτικοακουστικά έργα μεταπαραγωγής, με Ε.Ε.Ε.Δ. ογδόντα χιλιάδες (80.000) ευρώ, στα οποία συμπεριλαμβάνεται, ενδεικτικά, το σύνολο των εργασιών επεξεργασίας οπτικοακουστικού υλικού που λαμβάνουν χώρα μετά την ολοκλήρωση της κύριας κινηματογράφησης (principal photography) ή της δημιουργίας του πρωτογενούς υλικού και περιλαμβάνουν ιδίως:</w:t>
      </w:r>
      <w:br/>
      <w:r>
        <w:rPr>
          <w:sz w:val="22"/>
          <w:szCs w:val="22"/>
        </w:rPr>
        <w:t xml:space="preserve">δα) μοντάζ εικόνας και ήχου,</w:t>
      </w:r>
      <w:br/>
      <w:r>
        <w:rPr>
          <w:sz w:val="22"/>
          <w:szCs w:val="22"/>
        </w:rPr>
        <w:t xml:space="preserve">δβ) χρωματική διόρθωση και βαθμονόμηση,</w:t>
      </w:r>
      <w:br/>
      <w:r>
        <w:rPr>
          <w:sz w:val="22"/>
          <w:szCs w:val="22"/>
        </w:rPr>
        <w:t xml:space="preserve">δγ) προσθήκη οπτικών και ηχητικών εφέ [οπτικά εφέ (Visual Effects/VFX) και σχεδιασμό ήχου (sound design)],</w:t>
      </w:r>
      <w:br/>
      <w:r>
        <w:rPr>
          <w:sz w:val="22"/>
          <w:szCs w:val="22"/>
        </w:rPr>
        <w:t xml:space="preserve">δδ) συγχρονισμό, επεξεργασία και μίξη ήχου,</w:t>
      </w:r>
      <w:br/>
      <w:r>
        <w:rPr>
          <w:sz w:val="22"/>
          <w:szCs w:val="22"/>
        </w:rPr>
        <w:t xml:space="preserve">δε) υποτιτλισμό και μεταγλώττιση και</w:t>
      </w:r>
      <w:br/>
      <w:r>
        <w:rPr>
          <w:sz w:val="22"/>
          <w:szCs w:val="22"/>
        </w:rPr>
        <w:t xml:space="preserve">δστ) δημιουργία τεχνικών παραδοτέων για τη διάθεση και προβολή του έργου, συμπεριλαμβανομένων των τίτλων αρχής και τέλους.</w:t>
      </w:r>
      <w:br/>
      <w:r>
        <w:rPr>
          <w:sz w:val="22"/>
          <w:szCs w:val="22"/>
        </w:rPr>
        <w:t xml:space="preserve">ε) Οπτικοακουστικά έργα δεκαεπτά (17) επεισοδίων και άνω, ανεξαρτήτως ανώτατου αριθμού επεισοδίων, ως εξής:</w:t>
      </w:r>
      <w:br/>
      <w:r>
        <w:rPr>
          <w:sz w:val="22"/>
          <w:szCs w:val="22"/>
        </w:rPr>
        <w:t xml:space="preserve">εα) τηλεοπτικές σειρές μυθοπλασίας, με Ε.Ε.Ε.Δ. τριάντα χιλιάδες (30.000) ευρώ ανά παραγόμενο επεισόδιο, ανεξαρτήτως του αν βασίζονται σε πρωτότυπο σενάριο ή αποτελούν διασκευή προηγούμενου έργου και</w:t>
      </w:r>
      <w:br/>
      <w:r>
        <w:rPr>
          <w:sz w:val="22"/>
          <w:szCs w:val="22"/>
        </w:rPr>
        <w:t xml:space="preserve">εβ) τηλεοπτικά προγράμματα δραματοποιημένης πραγματικότητας (scripted reality), με Ε.Ε.Ε.Δ. είκοσι χιλιάδες (20.000) ευρώ ανά παραγόμενο επεισόδιο.</w:t>
      </w:r>
      <w:br/>
      <w:r>
        <w:rPr>
          <w:sz w:val="22"/>
          <w:szCs w:val="22"/>
        </w:rPr>
        <w:t xml:space="preserve">στ) Οπτικοακουστικά έργα τηλεοπτικών προγραμμάτων, ανεξαρτήτως αριθμού επεισοδίων, με Ε.Ε.Ε.Δ.:</w:t>
      </w:r>
      <w:br/>
      <w:r>
        <w:rPr>
          <w:sz w:val="22"/>
          <w:szCs w:val="22"/>
        </w:rPr>
        <w:t xml:space="preserve">στα) τριάντα πέντε χιλιάδες (35.000) ευρώ ανά παραγόμενο επεισόδιο για τηλεοπτικά προγράμματα πολιτιστικού περιεχομένου, επιμορφωτικά ή ψυχαγωγικά τηλεοπτικά προγράμματα ή διαγωνιστικά τηλεοπτικά προγράμματα ή τηλεπαιχνίδια, με ή χωρίς σενάριο, ζωντανά ή μαγνητοσκοπημένα, που προάγουν τον ελληνικό ή τον ευρωπαϊκό πολιτισμό και</w:t>
      </w:r>
      <w:br/>
      <w:r>
        <w:rPr>
          <w:sz w:val="22"/>
          <w:szCs w:val="22"/>
        </w:rPr>
        <w:t xml:space="preserve">στβ) δέκα χιλιάδες (10.000) ευρώ ανά παραγόμενο επεισόδιο για τηλεοπτικά προγράμματα με περιεχόμενο που αναδεικνύει την πολιτιστική και κοινωνική ποικιλομορφία της χώρας ήευαισθητοποιεί το κοινό, ιδίως σε θέματα κοινωνικού ή πολιτιστικού ενδιαφέροντος, υπογεννητικότητας, αποκέντρωσης, ερήμωσης της υπαίθρου, ισότητας και περιβαλλοντικής βιωσιμότητας, μέσω και της ανάδειξης της πορείας σημαντικών προσωπικοτήτων, ή για τηλεοπτικά παιχνίδια γνώσεων ή τηλεπαιχνίδια με περιεχόμενο που προάγει την ελληνική γλώσσα, συμπεριλαμβανομένων προγραμμάτων γλωσσικών γνώσεων, ορθής χρήσης, λεξιλογικού πλούτου και ιστορίας της ελληνικής γλώσσας.</w:t>
      </w:r>
      <w:br/>
      <w:r>
        <w:rPr>
          <w:sz w:val="22"/>
          <w:szCs w:val="22"/>
        </w:rPr>
        <w:t xml:space="preserve">Τα επενδυτικά σχέδια των περ. ε) και στ) εντάσσονται αποκλειστικά στη Δράση TV Greece του καθεστώτος FTV. Ειδικώς για την περ. στ), στα πολιτιστικά κριτήρια λαμβάνεται ιδίως υπόψη αν το οπτικοακουστικό έργο συμβάλλει στην ανάδειξη και προώθηση του ελληνικού ή του ευρωπαϊκού πολιτισμού, της γλώσσας, της ιστορίας, της πολιτιστικής κληρονομιάς, της σύγχρονης δημιουργίας, της καινοτομίας, της πολιτιστικής και κοινωνικής ποικιλομορφίας, της περιφερειακής ταυτότητας, της βιώσιμης ανάπτυξης, της κοινωνικής συνοχής ή της διάδοσης γνώσεων σε τομείς πολιτισμού, επιστήμης και τεχνολογίας. Στα ανωτέρω περιλαμβάνονται και η τεκμηριωμένη πολιτισμική προσαρμογή διεθνών μορφότυπων (formats) στην ελληνική πραγματικότητα, καθώς και η ανάδειξη σημαντικών προσωπικοτήτων, ιστορικών γεγονότων, πολιτιστικών αγαθών ή δημιουργικών δραστηριοτήτων της χώρας.</w:t>
      </w:r>
      <w:br/>
      <w:r>
        <w:rPr>
          <w:sz w:val="22"/>
          <w:szCs w:val="22"/>
        </w:rPr>
        <w:t xml:space="preserve">8. Δικαιούχοι ενίσχυσης και στις δύο δράσεις του καθεστώτος AV INNOVATION GREECE δύνανται να είναι, εφόσον πληρούν τις προϋποθέσεις της παρ. 3:</w:t>
      </w:r>
      <w:br/>
      <w:r>
        <w:rPr>
          <w:sz w:val="22"/>
          <w:szCs w:val="22"/>
        </w:rPr>
        <w:t xml:space="preserve">α) επιχειρήσεις, ανεξαρτήτως μεγέθους, που είναι εγκατεστημένες, διαθέτουν υποκατάστημα ή πρόκειται να δραστηριοποιηθούν στην ελληνική επικράτεια κατά τον χρόνο υποβολής της αίτησης χρηματοδότησης επενδυτικών σχεδίων και ένταξης στα καθεστώτα ενίσχυσης και έως την ολοκλήρωση των ελέγχων και</w:t>
      </w:r>
      <w:br/>
      <w:r>
        <w:rPr>
          <w:sz w:val="22"/>
          <w:szCs w:val="22"/>
        </w:rPr>
        <w:t xml:space="preserve">β) αλλοδαπές επιχειρήσεις παραγωγής, ανεξαρτήτως μεγέθους, με έδρα σε χώρες που δεν χαρακτηρίζονται μη συνεργάσιμες, σύμφωνα με την παρ. 3 του άρθρου 65 του Κώδικα Φορολογίας Εισοδήματος, εφόσον συμβάλλονται με επιχείρηση εγκατεστημένη ή δραστηριοποιούμενη στην Ελλάδα για την εκτέλεση μέρους ή του συνόλου της παραγωγής. Η αίτηση χρηματοδότησης υποβάλλεται από την ελληνική επιχείρηση και η ενίσχυση καταβάλλεται στον δικαιούχο που ορίζεται ρητά στη μεταξύ τους σύμβαση και στην αίτηση χρηματοδότησης επενδυτικών σχεδίων και ένταξης στα καθεστώτα ενίσχυσης.</w:t>
      </w:r>
      <w:br/>
      <w:r>
        <w:rPr>
          <w:sz w:val="22"/>
          <w:szCs w:val="22"/>
        </w:rPr>
        <w:t xml:space="preserve">9. Στο καθεστώς AV INNOVATION GREECE δύνανται να υπάγονται, ως επιλέξιμα επενδυτικά σχέδια, τα ακόλουθα αυτοτελή οπτικοακουστικά έργα, εφόσον πληρούν τις προϋποθέσεις του παρόντος νόμου, τα πολιτιστικά κριτήρια, όπως αυτά καθορίζονται στις προκηρύξεις των καθεστώτων ενίσχυσης του άρθρου 82, και την Ε.Ε.Ε.Δ., ως ελάχιστο ποσό ή ποσοστό επιλέξιμων δαπανών επί του συνολικού προϋπολογισμού που υλοποιείται στην ελληνική επικράτεια, σύμφωνα με την παρ. 4 του άρθρου 54 του Γ.Α.Κ. και κάθε άλλη σχετική με τις κρατικές ενισχύσεις ενωσιακή νομοθεσία ή βάσει σχετικής εγκριτικής απόφασης της Ευρωπαϊκής Επιτροπής, στις περιπτώσεις που τα καθεστώτα αυτά χρήζουν κοινοποίησης στην Ευρωπαϊκή Επιτροπή, περί υποχρεώσεων εδαφικότητας δαπανών:</w:t>
      </w:r>
      <w:br/>
      <w:r>
        <w:rPr>
          <w:sz w:val="22"/>
          <w:szCs w:val="22"/>
        </w:rPr>
        <w:t xml:space="preserve">α) Στη Δράση Video Game Development-VGD, οπτικοακουστικά έργα ψηφιακών παιχνιδιών, τα οποία συνδυάζουν εικόνα, ήχο, αφήγηση και διαδραστικότητα και εντάσσονται στο πεδίο του ψηφιακού πολιτισμού. Για την εν λόγω κατηγορία επενδυτικών σχεδίων δεν προβλέπεται Ε.Ε.Ε.Δ.</w:t>
      </w:r>
      <w:br/>
      <w:r>
        <w:rPr>
          <w:sz w:val="22"/>
          <w:szCs w:val="22"/>
        </w:rPr>
        <w:t xml:space="preserve">β) Στη Δράση Alter Realities:</w:t>
      </w:r>
      <w:br/>
      <w:r>
        <w:rPr>
          <w:sz w:val="22"/>
          <w:szCs w:val="22"/>
        </w:rPr>
        <w:t xml:space="preserve">βα) οπτικοακουστικά έργα κινηματογραφικών σχεδίων μυθοπλασίας, δημιουργικής τεκμηρίωσης ή κινουμένων σχεδίων, επαυξημένης πραγματικότητας (augmented reality), εικονικής πραγματικότητας (virtual reality) ή εκτεταμένης πραγματικότητας (extended reality), καθώς και διαδραστικές ταινίες, τα οποία αποτελούν ενιαία αυτοτελή έργα, με Ε.Ε.Ε.Δ.:</w:t>
      </w:r>
      <w:br/>
      <w:r>
        <w:rPr>
          <w:sz w:val="22"/>
          <w:szCs w:val="22"/>
        </w:rPr>
        <w:t xml:space="preserve">i. σαράντα χιλιάδες (40.000) ευρώ για ενιαία έργα διάρκειας έως εβδομήντα (70) λεπτών και</w:t>
      </w:r>
      <w:br/>
      <w:r>
        <w:rPr>
          <w:sz w:val="22"/>
          <w:szCs w:val="22"/>
        </w:rPr>
        <w:t xml:space="preserve">ii. διακόσιες χιλιάδες (200.000) ευρώ για ενιαία έργα διάρκειας άνω των εβδομήντα (70) λεπτών,</w:t>
      </w:r>
      <w:br/>
      <w:r>
        <w:rPr>
          <w:sz w:val="22"/>
          <w:szCs w:val="22"/>
        </w:rPr>
        <w:t xml:space="preserve">ββ) οπτικοακουστικά έργα κινηματογραφικών σχεδίων μυθοπλασίας, δημιουργικής τεκμηρίωσης ή κινουμένων σχεδίων (animation), επαυξημένης πραγματικότητας (augmented reality), εικονικής πραγματικότητας (virtual reality) ή εκτεταμένης πραγματικότητας (extended reality), καθώς και διαδραστικές σειρές με πρωτότυπο σενάριο, τα οποία διαιρούνται σε αυτοτελή μέρη ή επεισόδια, κατ’ ανώτατο όριο δεκαέξι (16), διάρκειας έως εβδομήντα (70) λεπτών έκαστο, διαθέτουν ενιαία δραματουργική και παραγωγική ταυτότητα και έχουν Ε.Ε.Ε.Δ. εκατό χιλιάδες (100.000) ευρώ ανά παραγόμενο επεισόδιο ή μέρος.</w:t>
      </w:r>
      <w:br/>
      <w:r>
        <w:rPr>
          <w:sz w:val="22"/>
          <w:szCs w:val="22"/>
        </w:rPr>
        <w:t xml:space="preserve">Η δράση έχει ως στόχο την ενίσχυση της παραγωγής οπτικοακουστικών έργων που χρησιμοποιούν, ενδεικτικά, τεχνολογίες εικονικής πραγματικότητας (VR), επαυξημένης πραγματικότητας (AR) και εκτεταμένης πραγματικότητας (XR), εμβυθιστικές τεχνολογίες και διαδραστικές πλατφόρμες.</w:t>
      </w:r>
      <w:br/>
      <w:r>
        <w:rPr>
          <w:sz w:val="22"/>
          <w:szCs w:val="22"/>
        </w:rPr>
        <w:t xml:space="preserve">10. Το συνολικό ποσό της επιχορήγησης ανά επενδυτικό σχέδιο στο καθεστώς FTV GREECE δεν μπορεί να υπερβαίνει τα δέκα εκατομμύρια (10.000.000) ευρώ. Σε περιπτώσεις οπτικοακουστικών έργων κινουμένων σχεδίων, το συνολικό ποσό της επιχορήγησης ανά επενδυτικό σχέδιο δεν μπορεί να υπερβαίνει τα δύο εκατομμύρια (2.000.000) ευρώ. Το συνολικό ποσό της επιχορήγησης ανά επενδυτικό σχέδιο στο καθεστώς AV INNOVATION GREECE δεν μπορεί να υπερβαίνει το ένα εκατομμύριο (1.000.000) ευρώ. Για τα επενδυτικά σχέδια που εντάσσονται στο εν λόγω καθεστώς, η χρηματοδότηση δύναται να πραγματοποιείται με προκαταβολή ή ανά φάσεις, βάσει της υποβολής συγκεκριμένων παραδοτέων που έχουν περιληφθεί στην απόφαση ένταξης.</w:t>
      </w:r>
      <w:br/>
      <w:r>
        <w:rPr>
          <w:sz w:val="22"/>
          <w:szCs w:val="22"/>
        </w:rPr>
        <w:t xml:space="preserve">11. Δεν εντάσσονται στα καθεστώτα ενίσχυσης του Προγράμματος CRGR τα ακόλουθα είδη οπτικοακουστικών έργων:</w:t>
      </w:r>
      <w:br/>
      <w:r>
        <w:rPr>
          <w:sz w:val="22"/>
          <w:szCs w:val="22"/>
        </w:rPr>
        <w:t xml:space="preserve">α) βιντεοσκοπημένες ή κινηματογραφημένες καλλιτεχνικές παραστάσεις και διοργανώσεις, όπως παραστάσεις θεάτρου, όπερας, χορού και μουσικής,</w:t>
      </w:r>
      <w:br/>
      <w:r>
        <w:rPr>
          <w:sz w:val="22"/>
          <w:szCs w:val="22"/>
        </w:rPr>
        <w:t xml:space="preserve">β) κάθε είδους αθλητική εκπομπή, αθλητική ανασκόπηση και κάλυψη αθλητικού αγώνα ή γεγονότος,</w:t>
      </w:r>
      <w:br/>
      <w:r>
        <w:rPr>
          <w:sz w:val="22"/>
          <w:szCs w:val="22"/>
        </w:rPr>
        <w:t xml:space="preserve">γ) ενημερωτικές, ειδησεογραφικές, ενημερωτικές εκπομπές ανασκόπησης γεγονότων και εκπομπές και προγράμματα πληροφοριακού χαρακτήρα,</w:t>
      </w:r>
      <w:br/>
      <w:r>
        <w:rPr>
          <w:sz w:val="22"/>
          <w:szCs w:val="22"/>
        </w:rPr>
        <w:t xml:space="preserve">δ) διαφημιστικά μηνύματα, εκπομπές τηλεπωλήσεων και κοινωνικά μηνύματα,</w:t>
      </w:r>
      <w:br/>
      <w:r>
        <w:rPr>
          <w:sz w:val="22"/>
          <w:szCs w:val="22"/>
        </w:rPr>
        <w:t xml:space="preserve">ε) προγράμματα με πορνογραφικό περιεχόμενο,</w:t>
      </w:r>
      <w:br/>
      <w:r>
        <w:rPr>
          <w:sz w:val="22"/>
          <w:szCs w:val="22"/>
        </w:rPr>
        <w:t xml:space="preserve">στ) προγράμματα που θίγουν την ανθρώπινη αξιοπρέπεια και προγράμματα που εισάγουν ή προάγουν διακρίσεις βάσει φύλου, φυλετικής ή εθνοτικής καταγωγής, εθνικότητας, θρησκείας ή πεποιθήσεων, αναπηρίας, ηλικίας ή σεξουαλικού προσανατολισμού και</w:t>
      </w:r>
      <w:br/>
      <w:r>
        <w:rPr>
          <w:sz w:val="22"/>
          <w:szCs w:val="22"/>
        </w:rPr>
        <w:t xml:space="preserve">ζ) τηλεοπτικά, τηλεφωνικά, διαδικτυακά ή ψηφιακά τυχερά παιχνίδια και παιχνίδια στοιχηματισμού, ψηφιακά προγράμματα τυχερών παιγνίων και στοιχήματος, με έμμεσο ή άμεσο οικονομικό όφελος, καθώς και:</w:t>
      </w:r>
      <w:br/>
      <w:r>
        <w:rPr>
          <w:sz w:val="22"/>
          <w:szCs w:val="22"/>
        </w:rPr>
        <w:t xml:space="preserve">ζα) ψηφιακά παιχνίδια με πορνογραφικό περιεχόμενο,</w:t>
      </w:r>
      <w:br/>
      <w:r>
        <w:rPr>
          <w:sz w:val="22"/>
          <w:szCs w:val="22"/>
        </w:rPr>
        <w:t xml:space="preserve">ζβ) ψηφιακά παιχνίδια που θίγουν την ανθρώπινη αξιοπρέπεια και εισάγουν ή προάγουν διακρίσεις βάσει φύλου, φυλετικής ή εθνοτικής καταγωγής, εθνικότητας, θρησκείας ή πεποιθήσεων, αναπηρίας, ηλικίας ή σεξουαλικού προσανατολισμού,</w:t>
      </w:r>
      <w:br/>
      <w:r>
        <w:rPr>
          <w:sz w:val="22"/>
          <w:szCs w:val="22"/>
        </w:rPr>
        <w:t xml:space="preserve">ζγ) ψηφιακά παιχνίδια ακραίας ή ρεαλιστικής βίας,</w:t>
      </w:r>
      <w:br/>
      <w:r>
        <w:rPr>
          <w:sz w:val="22"/>
          <w:szCs w:val="22"/>
        </w:rPr>
        <w:t xml:space="preserve">ζδ) ψηφιακά παιχνίδια που εξιδανικεύουν ή προωθούν τη χρήση παράνομων ουσιών,</w:t>
      </w:r>
      <w:br/>
      <w:r>
        <w:rPr>
          <w:sz w:val="22"/>
          <w:szCs w:val="22"/>
        </w:rPr>
        <w:t xml:space="preserve">ζε) ψηφιακά παιχνίδια εκπαιδευτικού ή θεραπευτικού χαρακτήρα,</w:t>
      </w:r>
      <w:br/>
      <w:r>
        <w:rPr>
          <w:sz w:val="22"/>
          <w:szCs w:val="22"/>
        </w:rPr>
        <w:t xml:space="preserve">ζστ) ψηφιακά παιχνίδια προώθησης υπηρεσιών ή προϊόντων,</w:t>
      </w:r>
      <w:br/>
      <w:r>
        <w:rPr>
          <w:sz w:val="22"/>
          <w:szCs w:val="22"/>
        </w:rPr>
        <w:t xml:space="preserve">ζζ) ψηφιακά παιχνίδια ξενάγησης, εκδηλώσεων, μουσικών βίντεο ή εμπειριών λιανεμπορίου και</w:t>
      </w:r>
      <w:br/>
      <w:r>
        <w:rPr>
          <w:sz w:val="22"/>
          <w:szCs w:val="22"/>
        </w:rPr>
        <w:t xml:space="preserve">ζη) μη διαδραστικά ψηφιακά παιχνίδια ή οπτικοακουστικά έργα.</w:t>
      </w:r>
      <w:br/>
      <w:r>
        <w:rPr>
          <w:sz w:val="22"/>
          <w:szCs w:val="22"/>
        </w:rPr>
        <w:t xml:space="preserve">12. Δεν εξαιρούνται από τα καθεστώτα ενίσχυσης ψυχαγωγικές εκπομπές, προγράμματα και εκπομπές λόγου, τηλεοπτικές συνεντεύξεις, τηλεοπτικά παιχνίδια ή διαγωνισμοί γνώσεων, ικανοτήτων ή δεξιοτήτων και προγράμματα τύπου ριάλιτι, με ή χωρίς έπαθλα, εφόσον πληρούν σωρευτικά τις ακόλουθες προϋποθέσεις:</w:t>
      </w:r>
      <w:br/>
      <w:r>
        <w:rPr>
          <w:sz w:val="22"/>
          <w:szCs w:val="22"/>
        </w:rPr>
        <w:t xml:space="preserve">α) εμπίπτουν στην περ. δ) της παρ. 7 και</w:t>
      </w:r>
      <w:br/>
      <w:r>
        <w:rPr>
          <w:sz w:val="22"/>
          <w:szCs w:val="22"/>
        </w:rPr>
        <w:t xml:space="preserve">β) εφόσον πρόκειται για τηλεοπτικά παιχνίδια, διαγωνιστικές εκπομπές ή εκπομπές ανάδειξης ταλέντων ή ριάλιτι, με ή χωρίς έπαθλο, το τελικό αποτέλεσμα ή η ανάδειξη νικητών, με ή χωρίς ψηφοφορία του κοινού, κριτών ή ειδικών, εξαρτάται κατά κύριο λόγο από τις γνώσεις, τις δεξιότητες, τα ταλέντα ή τις ικανότητες των συμμετεχόντων και όχι αποκλειστικά από την τύχη ή την κλήρωση, υπό την προϋπόθεση τεκμηρίωσης του πολιτιστικού τους χαρακτήρα βάσει των σχετικών κριτηρίων που καθορίζονται στην προκήρυξη του καθεστώτος.</w:t>
      </w:r>
    </w:p>
    <w:p>
      <w:pPr>
        <w:jc w:val="both"/>
      </w:pPr>
      <w:r>
        <w:rPr>
          <w:sz w:val="22"/>
          <w:szCs w:val="22"/>
        </w:rPr>
        <w:t xml:space="preserve">Άρθρο 79</w:t>
      </w:r>
      <w:br/>
      <w:r>
        <w:rPr>
          <w:sz w:val="22"/>
          <w:szCs w:val="22"/>
        </w:rPr>
        <w:t xml:space="preserve">Διαδικασίες υλοποίησης του Προγράμματος Cash Rebate Greece</w:t>
      </w:r>
      <w:br/>
      <w:r>
        <w:rPr>
          <w:sz w:val="22"/>
          <w:szCs w:val="22"/>
        </w:rPr>
        <w:t xml:space="preserve">1. Η πλατφόρμα για την υποβολή στο Ε.Κ.Κ.Ο.ΜΕ.Δ. αιτήσεων χρηματοδότησης επενδυτικών σχεδίων και ένταξης στα καθεστώτα ενίσχυσης του Προγράμματος CRGR ξεκινά να δέχεται αιτήσεις εντός του πρώτου τριμήνου κάθε ημερολογιακού έτους, σύμφωνα με απόφαση του αρμόδιου οργάνου της χορηγούσας αρχής, και παραμένει ανοικτή μέχρι την εξάντληση του διαθέσιμου ετήσιου προϋπολογισμού και πάντως όχι πέραν της31ης Δεκεμβρίου εκάστου έτους. Αδιάθετα ποσά που υφίστανται κατά το κλείσιμο της πλατφόρμας μεταφέρονται και καθίστανται διαθέσιμα για την κατανομή του επόμενου έτους. Αίτηση χρηματοδότησης επενδυτικών σχεδίων και ένταξης στα καθεστώτα ενίσχυσης υποβάλλεται έως και δέκα (10) ημέρες πριν από την ημερομηνία έναρξης του επενδυτικού σχεδίου, η οποία δηλώνεται στην αίτηση χρηματοδότησης. Η αίτηση χρηματοδότησης συνοδεύεται από τυποποιημένο φάκελο ενίσχυσης επενδυτικού σχεδίου, με όλα τα δικαιολογητικά που προβλέπονται και αναφέρονται στις προκηρύξεις.</w:t>
      </w:r>
      <w:br/>
      <w:r>
        <w:rPr>
          <w:sz w:val="22"/>
          <w:szCs w:val="22"/>
        </w:rPr>
        <w:t xml:space="preserve">2. Κατά τη χρονική περίοδο κατά την οποία είναι κλειστή η πλατφόρμα, επιτρέπεται η υποβολή στη χορηγούσα αρχή έγγραφης αίτησης χρηματοδότησης επενδυτικών σχεδίων και ένταξης στα καθεστώτα ενίσχυσης του Προγράμματος CRGR, εκτός της πλατφόρμας, αποκλειστικά για διεθνή ή διασυνοριακά επενδυτικά σχέδια των οποίων η έναρξη των γυρισμάτων δεν μπορεί τεκμηριωμένα να αναβληθεί, καθώς συνδέεται με εργασίες σε άλλες χώρες. Οι αιτήσεις αυτές υποβάλλονται εγγράφως στη χορηγούσα αρχή πριν από την έναρξη των εργασιών, κατά την έννοια της περ. 23 του άρθρου 2 του Γ.Α.Κ., περί ορισμών, και συνοδεύονται από τα απαραίτητα ελάχιστα στοιχεία του άρθρου 6 του Γ.Α.Κ., περί καθορισμού των στοιχείων της επιχείρησης. Οι έγγραφες αιτήσεις υποβάλλονται από τους αιτούντες και μέσω της πλατφόρμας, όταν αυτή επαναλειτουργήσει, και λογίζονται ως νομίμως υποβληθείσες για τους σκοπούς της διαπίστωσης του χαρακτήρα του κινήτρου της περ. β) της παρ. 4 του άρθρου 76. Σε περίπτωση μη συνδρομής των ανωτέρω προϋποθέσεων, τα επενδυτικά σχέδια απορρίπτονται.</w:t>
      </w:r>
      <w:br/>
      <w:r>
        <w:rPr>
          <w:sz w:val="22"/>
          <w:szCs w:val="22"/>
        </w:rPr>
        <w:t xml:space="preserve">3. Για την υποβολή αρχικής αίτησης χρηματοδότησης επενδυτικού σχεδίου σε οποιοδήποτε καθεστώς ενίσχυσης του Προγράμματος CRGR καταβάλλεται παράβολο υπέρ του κρατικού προϋπολογισμού, το ύψος του οποίου καθορίζεται σε πέντε δεκάκις χιλιοστά (0,0005) επί του συνόλου των επιλέξιμων δαπανών του επενδυτικού σχεδίου. Για την παραγωγή περισσότερων του ενός (1) επεισοδίων ή την παραγωγή κύκλου επεισοδίων τηλεοπτικής σειράς ή μίνι τηλεοπτικής σειράς οποιουδήποτε περιεχομένου, όπως μυθοπλασίας, ντοκιμαντέρ ή κινουμένων σχεδίων, το παράβολο υπολογίζεται επί του συνόλου των επιλέξιμων δαπανών όλων των επεισοδίων ή του κύκλου επεισοδίων που περιλαμβάνονται στην αίτηση. Σε κάθε περίπτωση, το ανωτέρω ποσό του παραβόλου δεν μπορεί να είναι κατώτερο των πεντακοσίων (500) ευρώ. Το παράβολο της παρούσας επιστρέφεται στον αιτούντα μετά την έκδοση της απόφασης ένταξης και την τελική πιστοποίηση της επιτυχούς ολοκλήρωσης του επενδυτικού σχεδίου.</w:t>
      </w:r>
      <w:br/>
      <w:r>
        <w:rPr>
          <w:sz w:val="22"/>
          <w:szCs w:val="22"/>
        </w:rPr>
        <w:t xml:space="preserve">4. Η αξιολόγηση των αιτήσεων χρηματοδότησης αφορά στον έλεγχο πληρότητας και νομιμότητας των δικαιολογητικών της αίτησης του επενδυτικού σχεδίου, καθώς και στην αξιολόγηση του περιεχομένου ως προς τα στοιχεία του επενδυτικού σχεδίου, τις πηγές χρηματοδότησης, την τήρηση των γενικών και ειδικών όρων χορήγησης της ενίσχυσης, τη συνδρομή και τη βαθμολόγηση των πολιτιστικών κριτηρίων και κάθε άλλου στοιχείου που προβλέπεται στις προκηρύξεις των καθεστώτων ενίσχυσης. Η διαδικασία αξιολόγησης της αίτησης χρηματοδότησης επενδυτικού σχεδίου σε οποιοδήποτε καθεστώς ενίσχυσης του Προγράμματος CRGR ολοκληρώνεται εντός τριών (3) μηνών από το χρονικό σημείο της ανάθεσής της στον πρώτο αξιολογητή, η οποία δεν μπορεί να λάβει χώρα μετά την πάροδο δέκα (10) ημερών από την υποβολή της στην πλατφόρμα. Η διαδικασία και η προθεσμία του πρώτου εδαφίου της παρούσας ισχύουν και για τις αιτήσεις που υποβάλλονται εγγράφως στη χορηγούσα αρχή, σύμφωνα με την παρ. 2. Η αξιολόγηση διενεργείται από δύο (2) αξιολογητές, οι οποίοι ορίζονται με απόφαση του αρμόδιου οργάνου της χορηγούσας αρχής από το Μητρώο Εμπειρογνωμόνων Ο.Δ.Τ. του άρθρου 88. Οι δύο (2) αξιολογητές δρουν ανεξάρτητα ο ένας από τον άλλον και εκδίδουν απόφαση επί του επενδυτικού σχεδίου. Αν ένας (1) τουλάχιστον από τους αξιολογητές εκδώσει αρνητική απόφαση μετά την αξιολόγηση του σχεδίου, το σχέδιο απορρίπτεται. Σε περίπτωση απόκλισης στις επιμέρους αποφάσεις των αξιολογητών ως προς τον υπολογισμό των επιμέρους δαπανών, οι δαπάνες προκύπτουν από τον μέσο όρο των αποτελεσμάτων των δύο αξιολογητών.</w:t>
      </w:r>
      <w:br/>
      <w:r>
        <w:rPr>
          <w:sz w:val="22"/>
          <w:szCs w:val="22"/>
        </w:rPr>
        <w:t xml:space="preserve">5. Τα επενδυτικά σχέδια που πληρούν τις νόμιμες προϋποθέσεις εντάσσονται στα καθεστώτα ενίσχυσης του Προγράμματος CRGR κατόπιν έκδοσης ατομικής απόφασης ένταξης από το αρμόδιο όργανο της χορηγούσας αρχής. Τα επενδυτικά σχέδια που δεν πληρούν τις νόμιμες προϋποθέσεις απορρίπτονται με αιτιολογημένη απόφαση του αρμόδιου οργάνου της χορηγούσας αρχής, το δε οικείο παράβολο δεν επιστρέφεται. Οι αποφάσεις του πρώτου και του δεύτερου εδαφίου αναρτώνται στο Πρόγραμμα «Διαύγεια», στην ιστοσελίδα της χορηγούσας αρχής και κοινοποιούνται στην αιτούσα επιχείρηση, με αποστολή στη διεύθυνση ηλεκτρονικού ταχυδρομείου που έχει δηλώσει στην αίτησή της και, εφόσον απαιτείται, στον διαδικτυακό τόπο της Ευρωπαϊκής Επιτροπής για τη διαφάνεια των κρατικών ενισχύσεων (Transparency Award Module).</w:t>
      </w:r>
      <w:br/>
      <w:r>
        <w:rPr>
          <w:sz w:val="22"/>
          <w:szCs w:val="22"/>
        </w:rPr>
        <w:t xml:space="preserve">6. Η απόφαση ένταξης μπορεί να ανακληθεί με απόφαση του αρμόδιου οργάνου της χορηγούσας αρχής σε οποιοδήποτε στάδιο της διαδικασίας έως την έκδοση της απόφασης πιστοποίησης της ολοκλήρωσης, σύμφωνα με την παρ. 9, εφόσον:</w:t>
      </w:r>
      <w:br/>
      <w:r>
        <w:rPr>
          <w:sz w:val="22"/>
          <w:szCs w:val="22"/>
        </w:rPr>
        <w:t xml:space="preserve">α) διαπιστωθεί παράβαση των όρων, των κανόνων και των υποχρεώσεων που ορίζονται στον παρόντα νόμο, στις προκηρύξεις του άρθρου 82, στις αποφάσεις ένταξης χρηματοδότησης ή σε άλλη διάταξη του εθνικού ή του ενωσιακού δικαίου,</w:t>
      </w:r>
      <w:br/>
      <w:r>
        <w:rPr>
          <w:sz w:val="22"/>
          <w:szCs w:val="22"/>
        </w:rPr>
        <w:t xml:space="preserve">β) το επενδυτικό σχέδιο δεν έχει αρχίσει τις κύριες εργασίες εντός έξι (6) μηνών από την έκδοση της απόφασης ένταξης χρηματοδότησης και δεν έχει υποβληθεί αίτημα παράτασης της έναρξης για πλήρως αιτιολογημένο και τεκμηριωμένο λόγο. Η έναρξη προκύπτει από επίσημο ημερήσιο πρόγραμμα γυρισμάτων (όρντινο) ή, ως προς τα κινούμενα σχέδια, από την ολοκλήρωση του σεναρίου storyboard, την έναρξη εργασιών πρώτης οπτικοποίησης σεναρίου με στοιχεία κίνησης (animatic) ή την εκτέλεση της πρώτης εργασίας μεταπαραγωγής,</w:t>
      </w:r>
      <w:br/>
      <w:r>
        <w:rPr>
          <w:sz w:val="22"/>
          <w:szCs w:val="22"/>
        </w:rPr>
        <w:t xml:space="preserve">γ) ο φορέας υλοποίησης της επένδυσης ή ο δικαιούχος παρακωλύσει τον έλεγχο της χορηγούσας αρχής ή διαπιστωθεί, κατόπιν ελέγχου από εθνικά ή ευρωπαϊκά ελεγκτικά όργανα, παράβαση των όρων χορήγησης της ενίσχυσης,</w:t>
      </w:r>
      <w:br/>
      <w:r>
        <w:rPr>
          <w:sz w:val="22"/>
          <w:szCs w:val="22"/>
        </w:rPr>
        <w:t xml:space="preserve">δ) εμφανιστούν νέα στοιχεία που τεκμηριώνουν ότι το επενδυτικό σχέδιο, κατά την υλοποίησή του, έχει πορνογραφικό χαρακτήρα, υποκινεί τη βία ή παραβιάζει τα ανθρώπινα δικαιώματα,</w:t>
      </w:r>
      <w:br/>
      <w:r>
        <w:rPr>
          <w:sz w:val="22"/>
          <w:szCs w:val="22"/>
        </w:rPr>
        <w:t xml:space="preserve">ε) ο φορέας επένδυσης ή ο δικαιούχος, κατά την υλοποίηση του επενδυτικού σχεδίου, έχει προχωρήσει σε ουσιώδεις αλλαγές που απαιτούν αίτηση τροποποίησης, την οποία δεν έχει υποβάλει, ή</w:t>
      </w:r>
      <w:br/>
      <w:r>
        <w:rPr>
          <w:sz w:val="22"/>
          <w:szCs w:val="22"/>
        </w:rPr>
        <w:t xml:space="preserve">στ) ο δικαιούχος δηλώσει αδυναμία υλοποίησης του επενδυτικού σχεδίου.</w:t>
      </w:r>
      <w:br/>
      <w:r>
        <w:rPr>
          <w:sz w:val="22"/>
          <w:szCs w:val="22"/>
        </w:rPr>
        <w:t xml:space="preserve">Σε περιπτώσεις καθεστώτων ενίσχυσης που προβλέπουν υλοποίηση ανά φάσεις, η χορηγούσα αρχή δύναται να ανακαλέσει απόφαση ένταξης, εφόσον εισηγηθεί σχετικά ο αρμόδιος χειριστής παρακολούθησης και ελέγχου του επενδυτικού σχεδίου κατά τον έλεγχο των φάσεων κάθε επενδυτικού σχεδίου και εκδοθεί σχετική απόφαση από το αρμόδιο όργανο. Η αιτούσα επιχείρηση δύναται να ζητήσει την απένταξη χρηματοδότησης του επενδυτικού σχεδίου σε οποιοδήποτε στάδιο υλοποίησής του. Στην περίπτωση αυτή, το αρμόδιο όργανο της χορηγούσας αρχής ανακαλεί την απόφαση ένταξης χρηματοδότησης. Σε περίπτωση ανάκλησης της απόφασης ένταξης χρηματοδότησης, το παράβολο καταπίπτει υπέρ του Ελληνικού Δημοσίου.</w:t>
      </w:r>
      <w:br/>
      <w:r>
        <w:rPr>
          <w:sz w:val="22"/>
          <w:szCs w:val="22"/>
        </w:rPr>
        <w:t xml:space="preserve">7. Διεθνή επενδυτικά σχέδια υψηλής αναπτυξιακής ή καλλιτεχνικής σημασίας για τη χώρα, τα οποία ικανοποιούν ιδιαίτερα κριτήρια επιλεξιμότητας, δύνανται να ενταχθούν στο Πρόγραμμα CRGR με κοινή απόφαση των Υπουργών Πολιτισμού και Εθνικής Οικονομίας και Οικονομικών, καθ’ υπέρβαση της ετήσιας κατανομής του εκάστοτε καθεστώτος ή με ειδικούς όρους και προϋποθέσεις, τηρουμένων των ρυθμίσεων του ενωσιακού δικαίου.</w:t>
      </w:r>
      <w:br/>
      <w:r>
        <w:rPr>
          <w:sz w:val="22"/>
          <w:szCs w:val="22"/>
        </w:rPr>
        <w:t xml:space="preserve">8. Κατά τη διάρκεια υλοποίησης των επενδυτικών σχεδίων και έως τη λήξη τους, η τροποποίηση των όρων ένταξης επιτρέπεται υπό την προϋπόθεση ότι δεν επηρεάζει ουσιωδώς τα πολιτιστικά κριτήρια βάσει των οποίων το επενδυτικό σχέδιο εντάχθηκε αρχικά στο καθεστώς ενίσχυσης, καθώς και την πλήρωση των λοιπών όρων από την άποψη του δικαίου των κρατικών ενισχύσεων, όπως αυτοί ορίζονται στον Γ.Α.Κ. ή στην εγκριτική απόφαση της Ευρωπαϊκής Ένωσης. Ειδικότερα, επιτρέπονται:</w:t>
      </w:r>
      <w:br/>
      <w:r>
        <w:rPr>
          <w:sz w:val="22"/>
          <w:szCs w:val="22"/>
        </w:rPr>
        <w:t xml:space="preserve">α) η άπαξ παράταση του χρόνου λήξης του επενδυτικού σχεδίου, που δηλώνεται στην απόφαση ένταξης, η οποία δεν δύναται να υπερβαίνει τους έξι (6) μήνες ή, αποκλειστικά για λόγους ανωτέρας βίας, χρονικό διάστημα ίσο με εκείνο της διακοπής ή της καθυστέρησης λόγω της επέλευσης απρόβλεπτου και εξαιρετικού γεγονότος. Η αίτηση υποβάλλεται τουλάχιστον τριάντα (30) ημέρες πριν από τη λήξη του επενδυτικού σχεδίου. Μετά την παρέλευση του εξαμήνου, το επενδυτικό σχέδιο απορρίπτεται με απόφαση του αρμόδιου οργάνου της χορηγούσας αρχής και η ενίσχυση δεν καταβάλλεται,</w:t>
      </w:r>
      <w:br/>
      <w:r>
        <w:rPr>
          <w:sz w:val="22"/>
          <w:szCs w:val="22"/>
        </w:rPr>
        <w:t xml:space="preserve">β) η εσωτερική αυξομειωτική ανακατανομή των κατηγοριών επιλέξιμων δαπανών που περιλήφθηκαν στο εγκεκριμένο επενδυτικό σχέδιο, εφόσον η αύξηση υπερβαίνει το είκοσι τοις εκατό (20%) ανά κατηγορία επιλέξιμης δαπάνης,</w:t>
      </w:r>
      <w:br/>
      <w:r>
        <w:rPr>
          <w:sz w:val="22"/>
          <w:szCs w:val="22"/>
        </w:rPr>
        <w:t xml:space="preserve">γ) η τροποποίηση που αφορά στο φυσικό αντικείμενο του επενδυτικού σχεδίου,</w:t>
      </w:r>
      <w:br/>
      <w:r>
        <w:rPr>
          <w:sz w:val="22"/>
          <w:szCs w:val="22"/>
        </w:rPr>
        <w:t xml:space="preserve">δ) η τροποποίηση που αφορά στην αιτούσα επιχείρηση, λόγω συγχώνευσης, απόσχισης κλάδου ή μεταβίβασης λόγω καθολικής διαδοχής, η οποία επέρχεται κατά τη διαδικασία υλοποίησης του επενδυτικού σχεδίου και</w:t>
      </w:r>
      <w:br/>
      <w:r>
        <w:rPr>
          <w:sz w:val="22"/>
          <w:szCs w:val="22"/>
        </w:rPr>
        <w:t xml:space="preserve">ε) η αύξηση του προϋπολογισμού των επιλέξιμων δαπανών έως δέκα τοις εκατό (10%), εντός του εγκεκριμένου προϋπολογισμού της παραγωγής, σε περιπτώσεις απρόβλεπτων καταστάσεων και εφόσον τηρούνται οι κανόνες κρατικών ενισχύσεων. Απρόβλεπτη κατάσταση δεν θεωρείται η προσθήκη νέων επεισοδίων τηλεοπτικής ή μίνι τηλεοπτικής σειράς με οποιοδήποτε περιεχόμενο.</w:t>
      </w:r>
      <w:br/>
      <w:r>
        <w:rPr>
          <w:sz w:val="22"/>
          <w:szCs w:val="22"/>
        </w:rPr>
        <w:t xml:space="preserve">Η τροποποίηση των όρων ένταξης γίνεται με την έκδοση σχετικής απόφασης από το αρμόδιο όργανο της χορηγούσας αρχής πριν από τη λήξη του επενδυτικού σχεδίου, υπό την προϋπόθεση ότι εξακολουθούν να πληρούνται οι προϋποθέσεις του Κεφαλαίου Ι και του άρθρου 54 του Γ.Α.Κ. και δεν επηρεάζονται ουσιωδώς τα πολιτιστικά κριτήρια βάσει των οποίων το επενδυτικό σχέδιο εντάχθηκε στο καθεστώς. Νέο αίτημα του ίδιου φορέα για τροποποίηση των όρων ένταξης με το ίδιο περιεχόμενο δεν εξετάζεται κατ’ ουσίαν και αρχειοθετείται. Ως νέο δεν θεωρείται το αίτημα που επανυποβάλλεται εντός των προβλεπόμενων χρονικών ορίων, προκειμένου να συμμορφωθεί με τις παρατηρήσεις των αξιολογητών. Η αίτηση τροποποίησης συνοδεύεται από τυποποιημένο φάκελο τροποποίησης επενδυτικού σχεδίου, ο οποίος περιέχει όλα τα δικαιολογητικά που προβλέπονται και αναφέρονται στις προκηρύξεις των καθεστώτων ενίσχυσης.</w:t>
      </w:r>
      <w:br/>
      <w:r>
        <w:rPr>
          <w:sz w:val="22"/>
          <w:szCs w:val="22"/>
        </w:rPr>
        <w:t xml:space="preserve">9. Ο έλεγχος της ολοκλήρωσης του επενδυτικού σχεδίου σε όλα τα καθεστώτα ενίσχυσης του Προγράμματος CRGR γίνεται από τη χορηγούσα αρχή εντός εξήντα (60) ημερών από την υποβολή της σχετικής αίτησης της επιχείρησης προς αυτή. Σε περίπτωση διασυνοριακής παραγωγής, ο έλεγχος ολοκλήρωσης διενεργείται ακόμη και αν δεν έχουν ολοκληρωθεί οι εργασίες μεταπαραγωγής εκτός της ελληνικής επικράτειας. Η αίτηση ελέγχου συνοδεύεται από τυποποιημένο φάκελο ολοκλήρωσης επενδυτικού σχεδίου, ο οποίος περιέχει τα δικαιολογητικά που προβλέπονται και αναφέρονται στις προκηρύξεις των καθεστώτων ενίσχυσης και, σε κάθε περίπτωση, την πιστοποίηση των δαπανών του επενδυτικού σχεδίου που υλοποιήθηκε στην ελληνική επικράτεια, βάσει έκθεσης ορκωτού ελεγκτή λογιστή ή ελεγκτικής εταιρείας. Η ολοκλήρωση του επενδυτικού σχεδίου πιστοποιείται ολικώς ή μερικώς με την έκδοση απόφασης πιστοποίησης ολοκλήρωσης από το αρμόδιο όργανο της χορηγούσας αρχής, εντός αποκλειστικής προθεσμίας δέκα (10) εργάσιμων ημερών μετά τη σχετική εισήγηση της αρμόδιας υπηρεσίας της χορηγούσας αρχής. Η απόφαση αναρτάται στο Πρόγραμμα «Διαύγεια», στο πληροφοριακό σύστημα της χορηγούσας αρχής και σε κάθε άλλο σύστημα που ορίζεται υποχρεωτικά από την κείμενη νομοθεσία. Οι αιτούσες επιχειρήσεις υποχρεούνται να παρέχουν κάθε στοιχείο ή διευκρίνιση που ζητείται από τις αρμόδιες υπηρεσίες της χορηγούσας αρχής, προκειμένου να διευκολύνουν τη διαδικασία ελέγχου της ολοκλήρωσης του επενδυτικού σχεδίου. Για έργα κινουμένων σχεδίων (animation), καθώς και για λοιπά επενδυτικά σχέδια που παράγονται κατά κύριο λόγο με ψηφιακές ή άλλες εξειδικευμένες τεχνολογικές μεθόδους, η χορηγούσα αρχή δύναται να απαιτεί πρόσθετα τεχνικά παραδοτέα, αρχεία παραγωγής και στοιχεία τεκμηρίωσης του φυσικού αντικειμένου του έργου. Οι ειδικότερες προϋποθέσεις, τα απαιτούμενα στοιχεία και οι διαδικασίες ελέγχου και πιστοποίησης καθορίζονται με τις προκηρύξεις των καθεστώτων ενίσχυσης του άρθρου 82. Τα δικαιολογητικά του ελέγχου τηρούνται στο αρχείο της χορηγούσας αρχής για δέκα (10) έτη για τους σκοπούς του ελέγχου.</w:t>
      </w:r>
      <w:br/>
      <w:r>
        <w:rPr>
          <w:sz w:val="22"/>
          <w:szCs w:val="22"/>
        </w:rPr>
        <w:t xml:space="preserve">10. Ο ορισμός ορκωτού ελεγκτή λογιστή ή ελεγκτικής εταιρείας των παρ. 2 και 3 του άρθρου 2 του ν. 4449/2017 (Α’ 7) γίνεται με απόφαση του αρμόδιου οργάνου της χορηγούσας αρχής εντός πέντε (5) ημερών από την υποβολή σχετικού αιτήματος της αιτούσας επιχείρησης. Το αίτημα υποβάλλεται μετά την ολοκλήρωση του φυσικού και οικονομικού αντικειμένου των εργασιών παραγωγής του επενδυτικού σχεδίου, με καταληκτική ημερομηνία υποβολής την ημερομηνία ολοκλήρωσης του επενδυτικού σχεδίου που αναγράφεται στην απόφαση ένταξης χρηματοδότησης. Με αιτιολογημένη απόφαση του αρμόδιου οργάνου της χορηγούσας αρχής δύναται να αντικαθίσταται ο ορκωτός ελεγκτής λογιστής ή η ελεγκτική εταιρεία λόγω πλημμελούς άσκησης του έργου τους. Η αμοιβή του ορκωτού ελεγκτή λογιστή ή της ελεγκτικής εταιρείας βαρύνει, σε κάθε περίπτωση θετικής ή απορριπτικής έκθεσης ελέγχου, αποκλειστικά τον δικαιούχο και αποτελεί επιλέξιμη δαπάνη του Προγράμματος. Ο ορκωτός ελεγκτής λογιστής ή η ελεγκτική εταιρεία απαγορεύεται να διενεργούν έλεγχο σε επενδυτικά σχέδια στα οποία συμμετείχαν με οποιονδήποτε τρόπο από τον χρόνο ένταξης του επενδυτικού σχεδίου και μέχρι την ολοκλήρωσή του. Η αιτούσα επιχείρηση υποχρεούται να δηλώσει τυχόν συμμετοχή ορκωτού ελεγκτή λογιστή ή ελεγκτικής εταιρείας με υπεύθυνη δήλωση που συνοδεύει την αίτηση του πρώτου εδαφίου της παρ. 9. Η παράβαση της ανωτέρω υποχρέωσης αποτελεί λόγο ανάκλησης της απόφασης ένταξης χρηματοδότησης του επενδυτικού σχεδίου και ανάκτησης τυχόν καταβληθείσας ενίσχυσης. Αν κατά τον έλεγχο υπάρξουν ευρήματα που αφορούν στην έκθεση του ορκωτού ελεγκτή λογιστή ή της ελεγκτικής εταιρείας και οδηγούν στην ανάκληση της απόφασης ένταξης, η αρμόδια υπηρεσία της χορηγούσας αρχής ενημερώνει σχετικά την Αρχή Δημόσιας Εποπτείας του άρθρου 38 του ν. 4449/2017 και αποκλείει τον ορκωτό ελεγκτή λογιστή ή την ελεγκτική εταιρεία από τις διαδικασίες ορισμού τους σε επενδυτικά σχέδια.</w:t>
      </w:r>
      <w:br/>
      <w:r>
        <w:rPr>
          <w:sz w:val="22"/>
          <w:szCs w:val="22"/>
        </w:rPr>
        <w:t xml:space="preserve">11. Η καταβολή της επιχορήγησης γίνεται εντός τριών (3) μηνών από την έκδοση της απόφασης πιστοποίησης της ολοκλήρωσης του επενδυτικού σχεδίου, απευθείας, μέσω ηλεκτρονικής πληρωμής, σε τραπεζικό λογαριασμό του δικαιούχου του επενδυτικού σχεδίου που έχει οριστεί με την απόφαση ένταξης χρηματοδότησης. Ο λογαριασμός τηρείται, κατά περίπτωση, σε πιστωτικό ίδρυμα της ημεδαπής, άλλου κράτους μέλους της Ευρωπαϊκής Ένωσης, του Ευρωπαϊκού Οικονομικού Χώρου ή της Ευρωπαϊκής Ζώνης Ελεύθερων Συναλλαγών, καθώς και της χώρας της καταστατικής έδρας ή της μόνιμης εγκατάστασης του δικαιούχου. Δεν επιτρέπεται η εκχώρηση της επιχορήγησης σε τρίτους. Κατ’ εξαίρεση, είναι δυνατή η εκχώρηση της απαίτησης καταβολής του ποσού της επιχορήγησης σε πιστωτικά ιδρύματα της ημεδαπής για την παροχή βραχυπρόθεσμου δανείου ισόποσου με την εκχωρούμενη επιχορήγηση, το οποίο χρησιμοποιείται για την υλοποίηση του επενδυτικού σχεδίου. Στις περιπτώσεις αυτές, η καταβολή της επιχορήγησης γίνεται απευθείας στο πιστωτικό ίδρυμα με το οποίο έχει υπογραφεί η σύμβαση εκχώρησης της απαίτησης. Η ενίσχυση που καταβάλλεται για την κάλυψη των συγκεκριμένων δαπανών δεν προσαυξάνει τα έσοδα από επιχειρηματική δραστηριότητα, αλλά αποτελεί μειωτικό στοιχείο του κόστους της δαπάνης που επιχορηγήθηκε.</w:t>
      </w:r>
      <w:br/>
      <w:r>
        <w:rPr>
          <w:sz w:val="22"/>
          <w:szCs w:val="22"/>
        </w:rPr>
        <w:t xml:space="preserve">12. Οι αποφάσεις πιστοποίησης ολοκλήρωσης της παρ. 9 υπόκεινται σε δειγματοληπτικό έλεγχο ποσοστού έως πέντε τοις εκατό (5%) επί του συνόλου των επενδυτικών σχεδίων για κάθε καθεστώς. Ο δειγματοληπτικός έλεγχος διενεργείται από τακτικές τριμελείς Επιτροπές Δειγματοληπτικού Ελέγχου, ανά πυλώνα, ή από έκτακτες τριμελείς Επιτροπές Δειγματοληπτικού Ελέγχου, σε περιπτώσεις επενδυτικών σχεδίων με ιδιαίτερη σημασία ή πολυπλοκότητα, οι οποίες συστήνονται με απόφαση του αρμόδιου οργάνου της χορηγούσας αρχής. Για τη διευκόλυνση και την επιτάχυνση του έργου των Επιτροπών Δειγματοληπτικού Ελέγχου μπορεί να ορίζονται από το αρμόδιο όργανο της χορηγούσας αρχής εξωτερικοί συνεργάτες ως εισηγητές, οι οποίοι υποβάλλουν εισηγήσεις προς τις Επιτροπές Δειγματοληπτικού Ελέγχου.</w:t>
      </w:r>
      <w:br/>
      <w:r>
        <w:rPr>
          <w:sz w:val="22"/>
          <w:szCs w:val="22"/>
        </w:rPr>
        <w:t xml:space="preserve">Αν κατά τον δειγματοληπτικό έλεγχο διαπιστωθεί:</w:t>
      </w:r>
      <w:br/>
      <w:r>
        <w:rPr>
          <w:sz w:val="22"/>
          <w:szCs w:val="22"/>
        </w:rPr>
        <w:t xml:space="preserve">α) καταβολή ενίσχυσης που οφείλεται σε μη νόμιμη πιστοποίηση λήξης επενδυτικού σχεδίου, σύμφωνα με τις παρ. 9 και 10, το σύνολο ή μέρος αυτής ανακτάται, προσαυξημένο νομιμοτόκως από τον χρόνο της εκάστοτε καταβολής, μετά από βεβαίωση και είσπραξη κατά τον Κώδικα Είσπραξης Δημοσίων Εσόδων (ν. 4978/2022, Α΄ 190). Τα σχετικά παραστατικά καταβολής των ενισχύσεων από τη χορηγούσα αρχή αποτελούν νόμιμο τίτλο για τη βεβαίωση του χρέους, η οποία συντελείται μετά την αποστολή του χρηματικού καταλόγου στην αρμόδια φορολογική αρχή, σύμφωνα με τον Κώδικα Είσπραξης Δημοσίων Εσόδων και το άρθρο 55 του π.δ. 16/1989 (Α΄ 6), περί στοιχείων που περιέχονται στους τίτλους είσπραξης και στις περιληπτικές καταστάσεις βεβαίωσης. Εφόσον από τον δειγματοληπτικό έλεγχο διαπιστωθεί πλημμελής διεξαγωγή του ελέγχου από τον ορκωτό ελεγκτή λογιστή ή την ελεγκτική εταιρεία, εφαρμόζεται το τελευταίο εδάφιο της παρ. 10, ή</w:t>
      </w:r>
      <w:br/>
      <w:r>
        <w:rPr>
          <w:sz w:val="22"/>
          <w:szCs w:val="22"/>
        </w:rPr>
        <w:t xml:space="preserve">β) μη συμμόρφωση με τις προϋποθέσεις του Γ.Α.Κ., το καταβληθέν ποσό της ενίσχυσης ανακτάται από τη στιγμή που τέθηκε στη διάθεση του δικαιούχου, εντόκως, με βάση το ισχύον επιτόκιο ανάκτησης κρατικών ενισχύσεων της Ευρωπαϊκής Επιτροπής, όπως καθορίζεται από τον Κανονισμό (ΕΚ) 794/2004 της Επιτροπής, της 21ης Απριλίου 2004, «σχετικά με την εφαρμογή του κανονισμού (ΕΚ) αριθ. 659/1999 του Συμβουλίου για τη θέσπιση λεπτομερών κανόνων εφαρμογής του άρθρου 93 της συνθήκης ΕΚ» (L 140). Η ανάκτηση πραγματοποιείται από τις καθ’ ύλην αρμόδιες υπηρεσίες του Υπουργείου Πολιτισμού.</w:t>
      </w:r>
      <w:br/>
      <w:r>
        <w:rPr>
          <w:sz w:val="22"/>
          <w:szCs w:val="22"/>
        </w:rPr>
        <w:t xml:space="preserve">13. Η χορηγούσα αρχή δύναται να διενεργεί επιτόπιους ή εξ αποστάσεως ελέγχους και επαληθεύσεις σε οποιοδήποτε στάδιο υλοποίησης του επενδυτικού σχεδίου έως και την καταβολή της ενίσχυσης, κατόπιν απόφασης του αρμόδιου οργάνου της. Οι έλεγχοι πραγματοποιούνται στην έδρα του φορέα του επενδυτικού σχεδίου, στον τόπο υλοποίησης της επένδυσης ή με κάθε άλλο πρόσφορο μέσο, από στελέχη της χορηγούσας αρχής που ορίζονται με την ανωτέρω απόφαση, στην οποία προσδιορίζονται, κατ’ ελάχιστον, το αντικείμενο του ελέγχου, ο τόπος, ο χρόνος και τα πρόσωπα που τον διενεργούν. Η χορηγούσα αρχή μεριμνά για την έγκαιρη ειδοποίηση του φορέα του επενδυτικού σχεδίου. Οι φορείς των επενδυτικών σχεδίων υποχρεούνται να παρέχουν πρόσβαση στους χώρους υλοποίησης, στα λογιστικά και λοιπά στοιχεία, στα παραδοτέα, στα αρχεία παραγωγής και σε κάθε άλλο στοιχείο που απαιτείται για τη διενέργεια του ελέγχου. Για έργα κινουμένων σχεδίων (animation), καθώς και για λοιπά επενδυτικά σχέδια που παράγονται κατά κύριο λόγο με ψηφιακές ή άλλες εξειδικευμένες τεχνολογικές μεθόδους, εφαρμόζεται το προτελευταίο εδάφιο της παρ. 9. Η διευκόλυνση των ελέγχων αποτελεί υποχρέωση των δικαιούχων και των φορέων των επενδυτικών σχεδίων. Η άρνηση, η παρακώλυση ή η μη προσήκουσα διευκόλυνση των ελέγχων δύναται να συνεπάγεται την ανάκληση της απόφασης ένταξης, τη μη καταβολή της ενίσχυσης ή την αναζήτηση ποσών που έχουν ήδη καταβληθεί, σύμφωνα με τους όρους του παρόντος και των οικείων καθεστώτων ενίσχυσης.</w:t>
      </w:r>
    </w:p>
    <w:p>
      <w:pPr>
        <w:jc w:val="both"/>
      </w:pPr>
      <w:r>
        <w:rPr>
          <w:sz w:val="22"/>
          <w:szCs w:val="22"/>
        </w:rPr>
        <w:t xml:space="preserve">Άρθρο 80</w:t>
      </w:r>
      <w:br/>
      <w:r>
        <w:rPr>
          <w:sz w:val="22"/>
          <w:szCs w:val="22"/>
        </w:rPr>
        <w:t xml:space="preserve">Διαδικασία υποβολής και εξέτασης ενστάσεων στο Πρόγραμμα Cash Rebate Greece</w:t>
      </w:r>
      <w:br/>
      <w:r>
        <w:rPr>
          <w:sz w:val="22"/>
          <w:szCs w:val="22"/>
        </w:rPr>
        <w:t xml:space="preserve">1. Ενστάσεις δύνανται να υποβάλλονται ηλεκτρονικά, μέσω του πληροφοριακού συστήματος της χορηγούσας αρχής, προς την Επιτροπή Ενστάσεων της περ. α) της παρ. 3 του άρθρου 81, εντός αποκλειστικής προθεσμίας δέκα (10) ημερών από την κοινοποίηση:</w:t>
      </w:r>
      <w:br/>
      <w:r>
        <w:rPr>
          <w:sz w:val="22"/>
          <w:szCs w:val="22"/>
        </w:rPr>
        <w:t xml:space="preserve">α) της απόφασης απόρριψης της παρ. 5 του άρθρου 79,</w:t>
      </w:r>
      <w:br/>
      <w:r>
        <w:rPr>
          <w:sz w:val="22"/>
          <w:szCs w:val="22"/>
        </w:rPr>
        <w:t xml:space="preserve">β) της απόφασης ένταξης της παρ. 5 του άρθρου 79, εφόσον το περιεχόμενό της διαφοροποιείται από το περιεχόμενο της αίτησης,</w:t>
      </w:r>
      <w:br/>
      <w:r>
        <w:rPr>
          <w:sz w:val="22"/>
          <w:szCs w:val="22"/>
        </w:rPr>
        <w:t xml:space="preserve">γ) της απόφασης πιστοποίησης ολοκλήρωσης της παρ. 9 του άρθρου 79 και</w:t>
      </w:r>
      <w:br/>
      <w:r>
        <w:rPr>
          <w:sz w:val="22"/>
          <w:szCs w:val="22"/>
        </w:rPr>
        <w:t xml:space="preserve">δ) των αποτελεσμάτων του δειγματοληπτικού ελέγχου της παρ. 12 του άρθρου 79.</w:t>
      </w:r>
      <w:br/>
      <w:r>
        <w:rPr>
          <w:sz w:val="22"/>
          <w:szCs w:val="22"/>
        </w:rPr>
        <w:t xml:space="preserve">Οι ενστάσεις του πρώτου εδαφίου έχουν τον χαρακτήρα ενδικοφανούς προσφυγής, κατά την έννοια του άρθρου 25 του Κώδικα Διοικητικής Διαδικασίας (ν. 2690/1999, Α’ 45). Για το παραδεκτό της άσκησης της ένστασης, ο ενιστάμενος καταβάλλει παράβολο ύψους εκατό (100) ευρώ, το οποίο εισπράττεται ως έσοδο του κρατικού προϋπολογισμού.</w:t>
      </w:r>
      <w:br/>
      <w:r>
        <w:rPr>
          <w:sz w:val="22"/>
          <w:szCs w:val="22"/>
        </w:rPr>
        <w:t xml:space="preserve">2. Οι ενστάσεις του πρώτου εδαφίου της παρ. 1 ασκούνται άπαξ κατά των πράξεων των περ. α) έως δ) της παρ. 1. Η απόφαση που εκδίδεται επί της ένστασης καθιστά οριστική την απόφαση του αρμόδιου οργάνου της χορηγούσας αρχής, χωρίς να επιτρέπεται άλλο στάδιο διοικητικής προσφυγής.</w:t>
      </w:r>
      <w:br/>
      <w:r>
        <w:rPr>
          <w:sz w:val="22"/>
          <w:szCs w:val="22"/>
        </w:rPr>
        <w:t xml:space="preserve">3. Μετά την ηλεκτρονική υποβολή της, η ένσταση διαβιβάζεται αμελλητί από τις αρμόδιες υπηρεσίες της χορηγούσας αρχής στον Πρόεδρο της Επιτροπής Ενστάσεων και εισάγεται προς εξέταση ενώπιόν της. Η Επιτροπή Ενστάσεων υποβάλλει στο αρμόδιο όργανο της χορηγούσας αρχής πρόταση περί αποδοχής ή απόρριψης της ένστασης εντός προθεσμίας δεκαπέντε (15) εργάσιμων ημερών από την ημερομηνία υποβολής της. Το αρμόδιο όργανο της χορηγούσας αρχής δεσμεύεται από την ανωτέρω πρόταση ως προς το περιεχόμενο της απόφασης που εκδίδεται.</w:t>
      </w:r>
      <w:br/>
      <w:r>
        <w:rPr>
          <w:sz w:val="22"/>
          <w:szCs w:val="22"/>
        </w:rPr>
        <w:t xml:space="preserve">4. Οι ενστάσεις εξετάζονται, σύμφωνα με το εκάστοτε ισχύον νομικό πλαίσιο, τόσο ως προς τη νομιμότητα της πράξης κατά της οποίας στρέφονται όσο και ως προς την ουσία της υπόθεσης.</w:t>
      </w:r>
      <w:br/>
      <w:r>
        <w:rPr>
          <w:sz w:val="22"/>
          <w:szCs w:val="22"/>
        </w:rPr>
        <w:t xml:space="preserve">5. Μετά την ολοκλήρωση της διαδικασίας εξέτασης των ενστάσεων, τροποποιούνται, εφόσον απαιτείται, οι αποφάσεις των περ. α) έως δ) της παρ. 1. Η απόφαση με την οποία απορρίπτεται η ένσταση αναρτάται στο Πρόγραμμα «Διαύγεια» και στην ιστοσελίδα της χορηγούσας αρχής και κοινοποιείται αμελλητί στην αιτούσα επιχείρηση με αποστολή στη διεύθυνση ηλεκτρονικού ταχυδρομείου που έχει δηλώσει.</w:t>
      </w:r>
    </w:p>
    <w:p>
      <w:pPr>
        <w:jc w:val="both"/>
      </w:pPr>
      <w:r>
        <w:rPr>
          <w:sz w:val="22"/>
          <w:szCs w:val="22"/>
        </w:rPr>
        <w:t xml:space="preserve">Άρθρο 81</w:t>
      </w:r>
      <w:br/>
      <w:r>
        <w:rPr>
          <w:sz w:val="22"/>
          <w:szCs w:val="22"/>
        </w:rPr>
        <w:t xml:space="preserve">Όργανα υλοποίησης του Προγράμματος Cash Rebate Greece</w:t>
      </w:r>
      <w:br/>
      <w:r>
        <w:rPr>
          <w:sz w:val="22"/>
          <w:szCs w:val="22"/>
        </w:rPr>
        <w:t xml:space="preserve">1. Η αξιολόγηση των αιτήσεων χρηματοδότησης επενδυτικών σχεδίων του Προγράμματος CRGR, καθώς και των αιτήσεων τροποποίησης των αποφάσεων ένταξης, πραγματοποιείται από αξιολογητές εγγεγραμμένους στο Μητρώο Εμπειρογνωμόνων Ο.Δ.Τ. του άρθρου 88. Στους αξιολογητές καταβάλλεται αμοιβή ανά αξιολόγηση, εντός των ορίων του εκάστοτε εγκεκριμένου προϋπολογισμού της χορηγούσας αρχής. Η αμοιβή ανά αξιολόγηση είναι ίση με το όριο της αποζημίωσης που προβλέπεται για τον πρόεδρο συλλογικού οργάνου στο τρίτο εδάφιο της παρ. 2 του άρθρου 21 του ν. 4354/2015 (Α’ 176) και καταβάλλεται μόνο εφόσον η αξιολόγηση ολοκληρωθεί εντός της προθεσμίας που τίθεται σύμφωνα με την παρ. 4 του άρθρου 79 του παρόντος.</w:t>
      </w:r>
      <w:br/>
      <w:r>
        <w:rPr>
          <w:sz w:val="22"/>
          <w:szCs w:val="22"/>
        </w:rPr>
        <w:t xml:space="preserve">2. Η παρακολούθηση της υλοποίησης των επενδυτικών σχεδίων και ο έλεγχος και η πιστοποίηση της ολοκλήρωσής τους πραγματοποιούνται από υπαλλήλους της αρμόδιας υπηρεσίας της χορηγούσας αρχής, οι οποίοι ορίζονται ως χειριστές παρακολούθησης και ελέγχου των επενδυτικών σχεδίων. Οι χειριστές παρακολούθησης και ελέγχου διασφαλίζουν την τήρηση των όρων ένταξης καθ’ όλη τη διάρκεια της υλοποίησης του επενδυτικού σχεδίου, την τήρηση των υποχρεώσεων του φορέα υλοποίησης, καθώς και τη συνεργασία με τους φορείς υλοποίησης των επενδυτικών σχεδίων για την ορθή διεκπεραίωση κάθε διαδικασίας που αφορά στην επιτυχή και νόμιμη ολοκλήρωση κάθε επενδυτικού σχεδίου. Στους χειριστές παρακολούθησης και ελέγχου των επενδυτικών σχεδίων καταβάλλεται, εντός των ορίων του εκάστοτε εγκεκριμένου προϋπολογισμού της χορηγούσας αρχής, μηνιαία αποζημίωση παρακολούθησης και ελέγχου, η οποία είναι ίση με την κατά μήνα αποζημίωση για τα μέλη συλλογικών οργάνων του τρίτου εδαφίου της παρ. 2 του άρθρου 21 του ν. 4354/2015.</w:t>
      </w:r>
      <w:br/>
      <w:r>
        <w:rPr>
          <w:sz w:val="22"/>
          <w:szCs w:val="22"/>
        </w:rPr>
        <w:t xml:space="preserve">3. Το Πρόγραμμα CRGR υποστηρίζεται από τις εξής επιτροπές:</w:t>
      </w:r>
      <w:br/>
      <w:r>
        <w:rPr>
          <w:sz w:val="22"/>
          <w:szCs w:val="22"/>
        </w:rPr>
        <w:t xml:space="preserve">α) την Επιτροπή Ενστάσεων, η οποία εξετάζει ενιαία τις ενστάσεις που υποβάλλονται σε όλα τα καθεστώτα ενίσχυσης, και</w:t>
      </w:r>
      <w:br/>
      <w:r>
        <w:rPr>
          <w:sz w:val="22"/>
          <w:szCs w:val="22"/>
        </w:rPr>
        <w:t xml:space="preserve">β) τις τακτικές και έκτακτες Επιτροπές Δειγματοληπτικού Ελέγχου.</w:t>
      </w:r>
      <w:br/>
      <w:r>
        <w:rPr>
          <w:sz w:val="22"/>
          <w:szCs w:val="22"/>
        </w:rPr>
        <w:t xml:space="preserve">Τα μέλη των επιτροπών δεν δύνανται να είναι αξιολογητές. Οι ανωτέρω επιτροπές είναι τριμελείς και συγκροτούνται από εργαζομένους της Εταιρείας ή του Υπουργείου Πολιτισμού με απόφαση του αρμόδιου οργάνου της χορηγούσας αρχής, η οποία αναρτάται στον διαδικτυακό τόπο του Προγράμματος. Η θητεία της Επιτροπής Ενστάσεων είναι διετής, ενώ η θητεία των Επιτροπών Δειγματοληπτικού Ελέγχου λήγει με την ολοκλήρωση του ελέγχου που καλούνται να διενεργήσουν. Στα μέλη των επιτροπών καταβάλλεται αποζημίωση, εντός των ορίων του εκάστοτε εγκεκριμένου προϋπολογισμού της χορηγούσας αρχής, η οποία είναι ίση με το ύψος των αποζημιώσεων που ορίζονται στο τρίτο εδάφιο της παρ. 2 του άρθρου 21 του ν. 4354/2015. Οι αποζημιώσεις καταβάλλονται μόνο εφόσον οι επιτροπές ολοκληρώνουν το έργο τους εντός των προθεσμιών που τίθενται από τον παρόντα νόμο.</w:t>
      </w:r>
      <w:br/>
      <w:r>
        <w:rPr>
          <w:sz w:val="22"/>
          <w:szCs w:val="22"/>
        </w:rPr>
        <w:t xml:space="preserve">4. Το σύνολο των αμοιβών και αποζημιώσεων των εργαζόμενων του Ε.Κ.Κ.Ο.ΜΕ.Δ., με σχέση εργασίας ιδιωτικού δικαίου αορίστου ή ορισμένου χρόνου, από τη συμμετοχή τους στις διαδικασίες του παρόντος δεν δύναται να υπερβαίνει το ανώτατο ετήσιο όριο της παρ. 5 του άρθρου 21 του ν. 4354/2015.</w:t>
      </w:r>
    </w:p>
    <w:p>
      <w:pPr>
        <w:jc w:val="both"/>
      </w:pPr>
      <w:r>
        <w:rPr>
          <w:sz w:val="22"/>
          <w:szCs w:val="22"/>
        </w:rPr>
        <w:t xml:space="preserve">Άρθρο 82</w:t>
      </w:r>
      <w:br/>
      <w:r>
        <w:rPr>
          <w:sz w:val="22"/>
          <w:szCs w:val="22"/>
        </w:rPr>
        <w:t xml:space="preserve">Προκηρύξεις καθεστώτων ενίσχυσης του προγράμματος Cash Rebate Greece</w:t>
      </w:r>
      <w:br/>
      <w:r>
        <w:rPr>
          <w:sz w:val="22"/>
          <w:szCs w:val="22"/>
        </w:rPr>
        <w:t xml:space="preserve">1. Οι προκηρύξεις των καθεστώτων ενίσχυσης του Προγράμματος CRGR και οι τροποποιήσεις τους εγκρίνονται με κοινή απόφαση των Υπουργών Πολιτισμού και Εθνικής Οικονομίας και Οικονομικών, μετά από εισήγηση του Διοικητικού Συμβουλίου (Δ.Σ.) της χορηγούσας αρχής, κατόπιν γνώμης της Κεντρικής Μονάδας Κρατικών Ενισχύσεων του Υπουργείου Εθνικής Οικονομίας και Οικονομικών, σύμφωνα με τα άρθρα 25 του ν. 5000/2022 (Α’ 226) και 28 του ν. 5264/2025 (Α’ 239).</w:t>
      </w:r>
      <w:br/>
      <w:r>
        <w:rPr>
          <w:sz w:val="22"/>
          <w:szCs w:val="22"/>
        </w:rPr>
        <w:t xml:space="preserve">2. Με τις προκηρύξεις της παρ. 1 ρυθμίζονται οι ειδικότερες λεπτομέρειες ανά καθεστώς ενίσχυσης ή Δράση, όπως ιδίως:</w:t>
      </w:r>
      <w:br/>
      <w:r>
        <w:rPr>
          <w:sz w:val="22"/>
          <w:szCs w:val="22"/>
        </w:rPr>
        <w:t xml:space="preserve">α) οι επιλέξιμοι Κ.Α.Δ. ανά καθεστώς ενίσχυσης και οι δικαιούχοι ενίσχυσης,</w:t>
      </w:r>
      <w:br/>
      <w:r>
        <w:rPr>
          <w:sz w:val="22"/>
          <w:szCs w:val="22"/>
        </w:rPr>
        <w:t xml:space="preserve">β) οι ειδικότεροι ορισμοί και οι επιλέξιμες δαπάνες για κάθε καθεστώς ενίσχυσης,</w:t>
      </w:r>
      <w:br/>
      <w:r>
        <w:rPr>
          <w:sz w:val="22"/>
          <w:szCs w:val="22"/>
        </w:rPr>
        <w:t xml:space="preserve">γ) τα πολιτιστικά κριτήρια ανά καθεστώς ενίσχυσης,</w:t>
      </w:r>
      <w:br/>
      <w:r>
        <w:rPr>
          <w:sz w:val="22"/>
          <w:szCs w:val="22"/>
        </w:rPr>
        <w:t xml:space="preserve">δ) τα δικαιολογητικά για όλες τις αιτήσεις ένταξης, τροποποίησης, ελέγχου και καταβολής ενίσχυσης και ο τρόπος υποβολής τους,</w:t>
      </w:r>
      <w:br/>
      <w:r>
        <w:rPr>
          <w:sz w:val="22"/>
          <w:szCs w:val="22"/>
        </w:rPr>
        <w:t xml:space="preserve">ε) τα εντασσόμενα και τα μη εντασσόμενα επενδυτικά σχέδια,</w:t>
      </w:r>
      <w:br/>
      <w:r>
        <w:rPr>
          <w:sz w:val="22"/>
          <w:szCs w:val="22"/>
        </w:rPr>
        <w:t xml:space="preserve">στ) τα κριτήρια, οι όροι, οι προϋποθέσεις και οι διαδικασίες αξιολόγησης για την ένταξη επενδυτικού σχεδίου που υπάγεται στην παρ. 7 του άρθρου 79,</w:t>
      </w:r>
      <w:br/>
      <w:r>
        <w:rPr>
          <w:sz w:val="22"/>
          <w:szCs w:val="22"/>
        </w:rPr>
        <w:t xml:space="preserve">ζ) το πληροφοριακό σύστημα εφαρμογής των καθεστώτων ενίσχυσης από τη χορηγούσα αρχή, και</w:t>
      </w:r>
      <w:br/>
      <w:r>
        <w:rPr>
          <w:sz w:val="22"/>
          <w:szCs w:val="22"/>
        </w:rPr>
        <w:t xml:space="preserve">η) τα ακριβή ανώτατα όρια χρηματοδότησης ανά καθεστώς ενίσχυσης.</w:t>
      </w:r>
      <w:br/>
      <w:r>
        <w:rPr>
          <w:sz w:val="22"/>
          <w:szCs w:val="22"/>
        </w:rPr>
        <w:t xml:space="preserve">3. Εφόσον εγκριθούν και ενταχθούν καθεστώτα ενίσχυσης τα οποία χρηματοδοτούνται από πόρους του Εταιρικού Συμφώνου Περιφερειακής Ανάπτυξης (Ε.Σ.Π.Α.), οι προκηρύξεις των καθεστώτων εκδίδονται με κοινές αποφάσεις των Υπουργών Πολιτισμού και Εθνικής Οικονομίας και Οικονομικών, σύμφωνα με τον ν. 4914/2022 (Α’ 61). Τα εν λόγω καθεστώτα οφείλουν να τηρούν τους όρους και τις προϋποθέσεις του Κανονισμού (ΕΕ) 2021/1060 του Ευρωπαϊκού Κοινοβουλίου και του Συμβουλίου, της 24ης Ιουνίου 2021, για τον καθορισμό κοινών διατάξεων για το Ευρωπαϊκό Ταμείο Περιφερειακής Ανάπτυξης, το Ευρωπαϊκό Κοινωνικό Ταμείο+, το Ταμείο Συνοχής, το Ταμείο Δίκαιης Μετάβασης και το Ευρωπαϊκό Ταμείο Θάλασσας, Αλιείας και Υδατοκαλλιέργειας, και δημοσιονομικών κανόνων για τα εν λόγω Ταμεία και για το Ταμείο Ασύλου, Μετανάστευσης και Ένταξης, το Ταμείο Εσωτερικής Ασφάλειας και το Μέσο για τη Χρηματοδοτική Στήριξη της Διαχείρισης των Συνόρων και την Πολιτική των Θεωρήσεων (L 231), του ν. 4914/2022, κάθε άλλης εθνικής και ενωσιακής νομοθεσίας περί συγχρηματοδοτούμενων πόρων, καθώς και του Συστήματος Διαχείρισης και Ελέγχου των συγχρηματοδοτούμενων προγραμμάτων.</w:t>
      </w:r>
    </w:p>
    <w:p>
      <w:pPr>
        <w:jc w:val="both"/>
      </w:pPr>
      <w:r>
        <w:rPr>
          <w:sz w:val="22"/>
          <w:szCs w:val="22"/>
        </w:rPr>
        <w:t xml:space="preserve">ΚΕΦΑΛΑΙΟ Γ΄</w:t>
      </w:r>
      <w:br/>
      <w:r>
        <w:rPr>
          <w:sz w:val="22"/>
          <w:szCs w:val="22"/>
        </w:rPr>
        <w:t xml:space="preserve">ΕΠΙΛΕΚΤΙΚΟ ΠΡΟΓΡΑΜΜΑ ΧΡΗΜΑΤΟΔΟΤΙΚΗΣ ΣΤΗΡΙΞΗΣ ΕΛΛΗΝΙΚΟΥ ΚΙΝΗΜΑΤΟΓΡΑΦΟΥ</w:t>
      </w:r>
    </w:p>
    <w:p>
      <w:pPr>
        <w:jc w:val="both"/>
      </w:pPr>
      <w:r>
        <w:rPr>
          <w:sz w:val="22"/>
          <w:szCs w:val="22"/>
        </w:rPr>
        <w:t xml:space="preserve">Άρθρο 83</w:t>
      </w:r>
      <w:br/>
      <w:r>
        <w:rPr>
          <w:sz w:val="22"/>
          <w:szCs w:val="22"/>
        </w:rPr>
        <w:t xml:space="preserve">Σκοπός και αρχές λειτουργίας του Προγράμματος</w:t>
      </w:r>
      <w:br/>
      <w:r>
        <w:rPr>
          <w:sz w:val="22"/>
          <w:szCs w:val="22"/>
        </w:rPr>
        <w:t xml:space="preserve">1. Το Επιλεκτικό Πρόγραμμα Χρηματοδοτικής Στήριξης του Ελληνικού Κινηματογράφου αποτελεί μηχανισμό δημόσιας πολιτιστικής στήριξης για την ανάπτυξη, την προαγωγή και τη διεθνή προβολή της ελληνικής κινηματογραφικής τέχνης και δημιουργίας και λειτουργεί μέσω επιλεκτικών μηχανισμών χρηματοδοτικής στήριξης και συμμετοχής στα αποτελέσματα εκμετάλλευσης των χρηματοδοτούμενων έργων, με σκοπό την επανεπένδυση πόρων προς όφελος της ελληνικής κινηματογραφικής δημιουργίας.</w:t>
      </w:r>
      <w:br/>
      <w:r>
        <w:rPr>
          <w:sz w:val="22"/>
          <w:szCs w:val="22"/>
        </w:rPr>
        <w:t xml:space="preserve">2. Σκοπός του Προγράμματος είναι ιδίως:</w:t>
      </w:r>
      <w:br/>
      <w:r>
        <w:rPr>
          <w:sz w:val="22"/>
          <w:szCs w:val="22"/>
        </w:rPr>
        <w:t xml:space="preserve">α) η ενίσχυση της ελληνικής κινηματογραφικής δημιουργίας, παραγωγής και πολιτιστικής έκφρασης,</w:t>
      </w:r>
      <w:br/>
      <w:r>
        <w:rPr>
          <w:sz w:val="22"/>
          <w:szCs w:val="22"/>
        </w:rPr>
        <w:t xml:space="preserve">β) η υποστήριξη των δημιουργών, παραγωγών και επιχειρήσεων του κινηματογραφικού τομέα,</w:t>
      </w:r>
      <w:br/>
      <w:r>
        <w:rPr>
          <w:sz w:val="22"/>
          <w:szCs w:val="22"/>
        </w:rPr>
        <w:t xml:space="preserve">γ) η προαγωγή της πολιτιστικής πολυμορφίας, της καλλιτεχνικής ελευθερίας και της δημιουργικής έκφρασης,</w:t>
      </w:r>
      <w:br/>
      <w:r>
        <w:rPr>
          <w:sz w:val="22"/>
          <w:szCs w:val="22"/>
        </w:rPr>
        <w:t xml:space="preserve">δ) η ανάδειξη νέων δημιουργών και η ανάπτυξη κινηματογραφικών έργων υψηλής καλλιτεχνικής, πολιτιστικής και δημιουργικής αξίας,</w:t>
      </w:r>
      <w:br/>
      <w:r>
        <w:rPr>
          <w:sz w:val="22"/>
          <w:szCs w:val="22"/>
        </w:rPr>
        <w:t xml:space="preserve">ε) η ενίσχυση της εξωστρέφειας, της διεθνούς παρουσίας και της ανταγωνιστικότητας του ελληνικού κινηματογράφου,</w:t>
      </w:r>
      <w:br/>
      <w:r>
        <w:rPr>
          <w:sz w:val="22"/>
          <w:szCs w:val="22"/>
        </w:rPr>
        <w:t xml:space="preserve">στ) η προώθηση της πρόσβασης του κοινού στα ελληνικά κινηματογραφικά έργα και η ανάπτυξη νέων ακροατηρίων και</w:t>
      </w:r>
      <w:br/>
      <w:r>
        <w:rPr>
          <w:sz w:val="22"/>
          <w:szCs w:val="22"/>
        </w:rPr>
        <w:t xml:space="preserve">ζ) η διαμόρφωση βιώσιμου μηχανισμού χρηματοδότησης της ελληνικής κινηματογραφικής δημιουργίας μέσω της συμμετοχής του Ε.Κ.Κ.Ο.ΜΕ.Δ. στα αποτελέσματα εκμετάλλευσης των χρηματοδοτούμενων έργων και της επανεπένδυσης των σχετικών πόρων προς όφελος της ελληνικής κινηματογραφικής δημιουργίας και παραγωγής.</w:t>
      </w:r>
      <w:br/>
      <w:r>
        <w:rPr>
          <w:sz w:val="22"/>
          <w:szCs w:val="22"/>
        </w:rPr>
        <w:t xml:space="preserve">3. Για την επίτευξη των σκοπών του, το Ε.Κ.Κ.Ο.ΜΕ.Δ., μέσω του Προγράμματος, παρέχει χρηματοδοτική στήριξη για την ανάπτυξη, την παραγωγή, τη συμπαραγωγή, την προώθηση, τη διάδοση και την αξιοποίηση κινηματογραφικών έργων όλων των ειδών, συμπεριλαμβανομένων έργων μυθοπλασίας, ντοκιμαντέρ και κινουμένων σχεδίων (animation), μεγάλου και μικρού μήκους, κατόπιν αξιολόγησης και επιλογής των υποβαλλόμενων αιτήσεων βάσει καλλιτεχνικών, πολιτιστικών, αναπτυξιακών και οικονομικών κριτηρίων που καθορίζονται στον Κανονισμό του Προγράμματος.</w:t>
      </w:r>
      <w:br/>
      <w:r>
        <w:rPr>
          <w:sz w:val="22"/>
          <w:szCs w:val="22"/>
        </w:rPr>
        <w:t xml:space="preserve">4. Η χρηματοδοτική στήριξη παρέχεται, με την επιφύλαξη των εφαρμοστέων κανόνων κρατικών ενισχύσεων της Ευρωπαϊκής Ένωσης, μέσω συμμετοχής του Ε.Κ.Κ.Ο.ΜΕ.Δ. στη χρηματοδότηση, την ανάπτυξη, την παραγωγή και την οικονομική εκμετάλλευση των χρηματοδοτούμενων έργων, σύμφωνα με τους όρους του παρόντος. Η χρηματοδοτική στήριξη συνοδεύεται από συμβατικά προβλεπόμενη συμμετοχή του Ε.Κ.Κ.Ο.ΜΕ.Δ. στα έσοδα εκμετάλλευσης των έργων, κατά τρόπο που επιτρέπει την απόδοση εσόδων υπέρ του Ε.Κ.Κ.Ο.ΜΕ.Δ. και την ανακύκλωση και επανεπένδυσή τους για τους σκοπούς του Προγράμματος. Η ένταξη του έργου στο Πρόγραμμα δύναται να αξιοποιείται από τον δικαιούχο κατά τη φάση της προέγκρισης ως στοιχείο τεκμηρίωσης της καλλιτεχνικής, πολιτιστικής και παραγωγικής αξίας και δυναμικής του έργου για την προσέλκυση πρόσθετων πηγών χρηματοδότησης, συμπαραγωγών ή άλλων μορφών υποστήριξης, καθώς και για την ολοκλήρωση της χρηματοδοτικής και παραγωγικής ωρίμανσης του έργου έως την υποβολή του οριστικού φακέλου παραγωγής. Το Πρόγραμμα χρηματοδοτείται από εθνικούς πόρους, σύμφωνα με τον ν. 5264/2025 (Α’ 239). Τα έσοδα που προκύπτουν από τη συμμετοχή του Ε.Κ.Κ.Ο.ΜΕ.Δ. στα έσοδα εκμετάλλευσης των χρηματοδοτούμενων έργων αποτελούν ίδια έσοδα του Οργανισμού, σύμφωνα με τις περ. δ) και ε) του άρθρου 14 του ν. 5105/2024 (Α’ 61).</w:t>
      </w:r>
      <w:br/>
      <w:r>
        <w:rPr>
          <w:sz w:val="22"/>
          <w:szCs w:val="22"/>
        </w:rPr>
        <w:t xml:space="preserve">5. Οι χρηματοδοτήσεις κινηματογραφικών έργων από το Επιλεκτικό Πρόγραμμα Χρηματοδοτικής Στήριξης μπορούν να συνδυάζονται και με άλλες κρατικές ενισχύσεις, με τον περιορισμό ότι το σύνολο της δημόσιας χρηματοδότησης για τις ίδιες επιλέξιμες δαπάνες δεν υπερβαίνει αθροιστικά το πενήντα τοις εκατό (50%) του συνολικού κόστους παραγωγής του έργου. Το όριο αυτό αυξάνεται στο εξήντα τοις εκατό (60%) του συνολικού κόστους παραγωγής του έργου σε περίπτωση διασυνοριακής παραγωγής και στο εκατό τοις εκατό (100%) του συνολικού κόστους παραγωγής του έργου σε περίπτωση παραγωγής δύσκολου οπτικοακουστικού έργου.</w:t>
      </w:r>
      <w:br/>
      <w:r>
        <w:rPr>
          <w:sz w:val="22"/>
          <w:szCs w:val="22"/>
        </w:rPr>
        <w:t xml:space="preserve">Ως δύσκολο οπτικοακουστικό έργο ορίζεται το αυτοτελές οπτικοακουστικό έργο, το οποίο πληροί τουλάχιστον μία (1) από τις ακόλουθες προϋποθέσεις:</w:t>
      </w:r>
      <w:br/>
      <w:r>
        <w:rPr>
          <w:sz w:val="22"/>
          <w:szCs w:val="22"/>
        </w:rPr>
        <w:t xml:space="preserve">α) το πρωτότυπο έργο είναι στην ελληνική γλώσσα. Η χρήση μικρής ή περιορισμένης έκτασης άλλων γλωσσών δεν αναιρεί την πλήρωση της προϋπόθεσης αυτής,</w:t>
      </w:r>
      <w:br/>
      <w:r>
        <w:rPr>
          <w:sz w:val="22"/>
          <w:szCs w:val="22"/>
        </w:rPr>
        <w:t xml:space="preserve">β) αποτελεί το πρώτο ή το δεύτερο έργο σκηνοθέτη,</w:t>
      </w:r>
      <w:br/>
      <w:r>
        <w:rPr>
          <w:sz w:val="22"/>
          <w:szCs w:val="22"/>
        </w:rPr>
        <w:t xml:space="preserve">γ) έχει συνολικό προϋπολογισμό έως ένα εκατομμύριο (1.000.000) ευρώ ή</w:t>
      </w:r>
      <w:br/>
      <w:r>
        <w:rPr>
          <w:sz w:val="22"/>
          <w:szCs w:val="22"/>
        </w:rPr>
        <w:t xml:space="preserve">δ) αποτελεί ταινία μικρού μήκους ή έργο τεκμηρίωσης (ντοκιμαντέρ)</w:t>
      </w:r>
    </w:p>
    <w:p>
      <w:pPr>
        <w:jc w:val="both"/>
      </w:pPr>
      <w:r>
        <w:rPr>
          <w:sz w:val="22"/>
          <w:szCs w:val="22"/>
        </w:rPr>
        <w:t xml:space="preserve">Άρθρο 84</w:t>
      </w:r>
      <w:br/>
      <w:r>
        <w:rPr>
          <w:sz w:val="22"/>
          <w:szCs w:val="22"/>
        </w:rPr>
        <w:t xml:space="preserve">Διαδικασίες υλοποίησης Προγράμματος</w:t>
      </w:r>
      <w:br/>
      <w:r>
        <w:rPr>
          <w:sz w:val="22"/>
          <w:szCs w:val="22"/>
        </w:rPr>
        <w:t xml:space="preserve">1. Οι αιτήσεις και τα συνοδευτικά δικαιολογητικά υποβάλλονται αποκλειστικά με ηλεκτρονικά μέσα, μέσω του πληροφοριακού συστήματος που λειτουργεί το Ε.Κ.Κ.Ο.ΜΕ.Δ., σύμφωνα με τους όρους του Κανονισμού Χρηματοδότησης του Προγράμματος.</w:t>
      </w:r>
      <w:br/>
      <w:r>
        <w:rPr>
          <w:sz w:val="22"/>
          <w:szCs w:val="22"/>
        </w:rPr>
        <w:t xml:space="preserve">2. Η διαδικασία αξιολόγησης ολοκληρώνεται εντός τριών (3) μηνών από την υποβολή πλήρους αίτησης στο πληροφοριακό σύστημα του Ε.Κ.Κ.Ο.ΜΕ.Δ. και περιλαμβάνει κατ’ ελάχιστον:</w:t>
      </w:r>
      <w:br/>
      <w:r>
        <w:rPr>
          <w:sz w:val="22"/>
          <w:szCs w:val="22"/>
        </w:rPr>
        <w:t xml:space="preserve">α) τον έλεγχο επιλεξιμότητας και νομιμότητας των δικαιολογητικών,</w:t>
      </w:r>
      <w:br/>
      <w:r>
        <w:rPr>
          <w:sz w:val="22"/>
          <w:szCs w:val="22"/>
        </w:rPr>
        <w:t xml:space="preserve">β) την αξιολόγηση των αιτήσεων βάσει πολιτιστικών, καλλιτεχνικών, αναπτυξιακών και οικονομικών κριτηρίων που καθορίζονται στον Κανονισμό του Προγράμματος, από τις αρμόδιες υπηρεσίες του Ε.Κ.Κ.Ο.ΜΕ.Δ., από εξωτερικούς αναγνώστες ή εμπειρογνώμονες εγγεγραμμένους στο Μητρώο Εμπειρογνωμόνων Ο.Δ.Τ. του Ε.Κ.Κ.Ο.ΜΕ.Δ. ή με συνδυασμό των ανωτέρω διαδικασιών και</w:t>
      </w:r>
      <w:br/>
      <w:r>
        <w:rPr>
          <w:sz w:val="22"/>
          <w:szCs w:val="22"/>
        </w:rPr>
        <w:t xml:space="preserve">γ) την τελική αξιολόγηση και επιλογή από την Κεντρική Επιτροπή Αξιολόγησης.</w:t>
      </w:r>
      <w:br/>
      <w:r>
        <w:rPr>
          <w:sz w:val="22"/>
          <w:szCs w:val="22"/>
        </w:rPr>
        <w:t xml:space="preserve">3. Με την ολοκλήρωση της διαδικασίας αξιολόγησης, το αρμόδιο όργανο του Ε.Κ.Κ.Ο.ΜΕ.Δ. εκδίδει απόφαση προέγκρισης χρηματοδότησης, σύμφωνα με τα ειδικότερα οριζόμενα στον Κανονισμό του Προγράμματος. Η προέγκριση χρηματοδότησης συνιστά καταρχήν δέσμευση για την ένταξη του κινηματογραφικού έργου στο Πρόγραμμα και καθορίζει το ανώτατο ύψος της χρηματοδοτικής στήριξης που δύναται να χορηγηθεί. Η οριστική ένταξη του έργου τελεί υπό την προϋπόθεση της υποβολής και της έγκρισης πλήρους φακέλου παραγωγής, σύμφωνα με τον Κανονισμό του Προγράμματος. Για δράσεις που αφορούν στη συγγραφή, την ανάπτυξη ή άλλη προπαρασκευαστική φάση κινηματογραφικού έργου, ο Κανονισμός του Προγράμματος δύναται να προβλέπει την απευθείας έγκριση της χρηματοδότησης χωρίς προηγούμενη φάση προέγκρισης.</w:t>
      </w:r>
      <w:br/>
      <w:r>
        <w:rPr>
          <w:sz w:val="22"/>
          <w:szCs w:val="22"/>
        </w:rPr>
        <w:t xml:space="preserve">4. Οι δικαιούχοι προέγκρισης υποχρεούνται να οριστικοποιήσουν τον φάκελο παραγωγής και να υποβάλουν τα απαιτούμενα δικαιολογητικά εντός δύο (2) ετών από την έκδοση της απόφασης προέγκρισης. Η αρμόδια υπηρεσία του Ε.Κ.Κ.Ο.ΜΕ.Δ. ολοκληρώνει τον έλεγχο του οριστικού φακέλου παραγωγής και προβαίνει στην υπογραφή της σύμβασης χρηματοδότησης εντός τριών (3) μηνών από την υποβολή πλήρους φακέλου.</w:t>
      </w:r>
      <w:br/>
      <w:r>
        <w:rPr>
          <w:sz w:val="22"/>
          <w:szCs w:val="22"/>
        </w:rPr>
        <w:t xml:space="preserve">5. Ο αντισυμβαλλόμενος υποχρεούται να ολοκληρώσει το χρηματοδοτούμενο κινηματογραφικό έργο εντός τριών (3) ετών από την υπογραφή της σύμβασης χρηματοδότησης. Σε εξαιρετικές περιπτώσεις, μετά από ειδικώς αιτιολογημένη αίτηση του δικαιούχου και απόφαση του αρμόδιου οργάνου του Ε.Κ.Κ.Ο.ΜΕ.Δ., δύναται να χορηγείται παράταση έως έξι (6) μήνες.</w:t>
      </w:r>
      <w:br/>
      <w:r>
        <w:rPr>
          <w:sz w:val="22"/>
          <w:szCs w:val="22"/>
        </w:rPr>
        <w:t xml:space="preserve">6. Κατά τη διάρκεια υλοποίησης του έργου, ο αντισυμβαλλόμενος υποχρεούται να γνωστοποιεί αμελλητί στο Ε.Κ.Κ.Ο.ΜΕ.Δ. κάθε ουσιώδη μεταβολή που αφορά στο φυσικό ή οικονομικό αντικείμενο του έργου, στο χρηματοδοτικό σχήμα, στους βασικούς δημιουργικούς ή παραγωγικούς συντελεστές ή στο χρονοδιάγραμμα υλοποίησης. Ο αντισυμβαλλόμενος δύναται να ζητεί την τροποποίηση όρων της απόφασης προέγκρισης ή της σύμβασης χρηματοδότησης, εφόσον οι μεταβολές είναι αναγκαίες για την ολοκλήρωση του έργου και δεν αλλοιώνουν ουσιωδώς τα στοιχεία βάσει των οποίων αυτό αξιολογήθηκε και εντάχθηκε στο Πρόγραμμα. Οι ουσιώδεις μεταβολές τελούν υπό την προϋπόθεση της προηγούμενης έγκρισης του Ε.Κ.Κ.Ο.ΜΕ.Δ., σύμφωνα με τον Κανονισμό του Προγράμματος.</w:t>
      </w:r>
      <w:br/>
      <w:r>
        <w:rPr>
          <w:sz w:val="22"/>
          <w:szCs w:val="22"/>
        </w:rPr>
        <w:t xml:space="preserve">7. Η καταβολή της χρηματοδοτικής στήριξης πραγματοποιείται τμηματικά σε έως τέσσερις (4) δόσεις, σύμφωνα με τους όρους της σύμβασης χρηματοδότησης και τον Κανονισμό του Προγράμματος. Οι δόσεις συνδέονται ιδίως με:</w:t>
      </w:r>
      <w:br/>
      <w:r>
        <w:rPr>
          <w:sz w:val="22"/>
          <w:szCs w:val="22"/>
        </w:rPr>
        <w:t xml:space="preserve">α) την υπογραφή της σύμβασης χρηματοδότησης,</w:t>
      </w:r>
      <w:br/>
      <w:r>
        <w:rPr>
          <w:sz w:val="22"/>
          <w:szCs w:val="22"/>
        </w:rPr>
        <w:t xml:space="preserve">β) την έναρξη της παραγωγής ή των γυρισμάτων,</w:t>
      </w:r>
      <w:br/>
      <w:r>
        <w:rPr>
          <w:sz w:val="22"/>
          <w:szCs w:val="22"/>
        </w:rPr>
        <w:t xml:space="preserve">γ) την πρόοδο υλοποίησης του έργου και την υποβολή των προβλεπόμενων ενδιάμεσων παραδοτέων ή απολογιστικών στοιχείων και</w:t>
      </w:r>
      <w:br/>
      <w:r>
        <w:rPr>
          <w:sz w:val="22"/>
          <w:szCs w:val="22"/>
        </w:rPr>
        <w:t xml:space="preserve">δ) την ολοκλήρωση του έργου και της προβλεπόμενης απολογιστικής διαδικασίας.</w:t>
      </w:r>
      <w:br/>
      <w:r>
        <w:rPr>
          <w:sz w:val="22"/>
          <w:szCs w:val="22"/>
        </w:rPr>
        <w:t xml:space="preserve">8. Η απόφαση προέγκρισης χρηματοδότησης, καθώς και η σύμβαση χρηματοδότησης δύνανται να ανακαλούνται, να τροποποιούνται ή να καταγγέλλονται, εν όλω ή εν μέρει, με αιτιολογημένη απόφαση του αρμόδιου οργάνου του Ε.Κ.Κ.Ο.ΜΕ.Δ., ιδίως στις ακόλουθες περιπτώσεις:</w:t>
      </w:r>
      <w:br/>
      <w:r>
        <w:rPr>
          <w:sz w:val="22"/>
          <w:szCs w:val="22"/>
        </w:rPr>
        <w:t xml:space="preserve">α) εάν διαπιστωθεί ότι η έγκριση, η προέγκριση ή η χρηματοδότηση βασίσθηκε σε ψευδή, ανακριβή ή παραπλανητικά στοιχεία, δηλώσεις ή δικαιολογητικά,</w:t>
      </w:r>
      <w:br/>
      <w:r>
        <w:rPr>
          <w:sz w:val="22"/>
          <w:szCs w:val="22"/>
        </w:rPr>
        <w:t xml:space="preserve">β) εάν το έργο μεταβληθεί ουσιωδώς σε σχέση με την εγκεκριμένη πρόταση κατά τρόπο μη συμβατό με τους όρους του Προγράμματος,</w:t>
      </w:r>
      <w:br/>
      <w:r>
        <w:rPr>
          <w:sz w:val="22"/>
          <w:szCs w:val="22"/>
        </w:rPr>
        <w:t xml:space="preserve">γ) εάν καθίσταται αδύνατη η υλοποίηση του έργου σύμφωνα με το εγκεκριμένο χρονοδιάγραμμα ή τους όρους χρηματοδότησης,</w:t>
      </w:r>
      <w:br/>
      <w:r>
        <w:rPr>
          <w:sz w:val="22"/>
          <w:szCs w:val="22"/>
        </w:rPr>
        <w:t xml:space="preserve">δ) εάν ο δικαιούχος παραβιάζει όρους της απόφασης έγκρισης, της προέγκρισης, της σύμβασης χρηματοδότησης ή του Κανονισμού του Προγράμματος,</w:t>
      </w:r>
      <w:br/>
      <w:r>
        <w:rPr>
          <w:sz w:val="22"/>
          <w:szCs w:val="22"/>
        </w:rPr>
        <w:t xml:space="preserve">ε) εάν ο δικαιούχος δεν υποβάλλει εμπροθέσμως τα απαιτούμενα δικαιολογητικά, παραδοτέα ή στοιχεία ελέγχου,</w:t>
      </w:r>
      <w:br/>
      <w:r>
        <w:rPr>
          <w:sz w:val="22"/>
          <w:szCs w:val="22"/>
        </w:rPr>
        <w:t xml:space="preserve">στ) εάν ο δικαιούχος αρνείται, παρεμποδίζει ή δεν διευκολύνει τη διενέργεια διοικητικού, οικονομικού ή άλλου προβλεπόμενου ελέγχου,</w:t>
      </w:r>
      <w:br/>
      <w:r>
        <w:rPr>
          <w:sz w:val="22"/>
          <w:szCs w:val="22"/>
        </w:rPr>
        <w:t xml:space="preserve">ζ) εάν διαπιστωθεί σύγκρουση συμφερόντων, παράβαση της εθνικής ή ενωσιακής νομοθεσίας ή άλλη σοβαρή παράβαση που επηρεάζει τη νομιμότητα ή την ορθή υλοποίηση του έργου,</w:t>
      </w:r>
      <w:br/>
      <w:r>
        <w:rPr>
          <w:sz w:val="22"/>
          <w:szCs w:val="22"/>
        </w:rPr>
        <w:t xml:space="preserve">η) εάν από έλεγχο αρμόδιας εθνικής ή ενωσιακής αρχής προκύπτει παράβαση των κανόνων κρατικών ενισχύσεων ή υποχρέωση ανάκτησης της ενίσχυσης και</w:t>
      </w:r>
      <w:br/>
      <w:r>
        <w:rPr>
          <w:sz w:val="22"/>
          <w:szCs w:val="22"/>
        </w:rPr>
        <w:t xml:space="preserve">θ) για λόγους προστασίας του δημόσιου συμφέροντος, σύμφωνα με τα ειδικότερα οριζόμενα στον Κανονισμό του Προγράμματος.</w:t>
      </w:r>
      <w:br/>
      <w:r>
        <w:rPr>
          <w:sz w:val="22"/>
          <w:szCs w:val="22"/>
        </w:rPr>
        <w:t xml:space="preserve">Οι περιπτώσεις ανάκλησης, καταγγελίας ή λύσης της σύμβασης που συνδέονται με τη μη τήρηση προθεσμιών, την αδυναμία υλοποίησης του έργου ή την παράβαση συμβατικών υποχρεώσεων εφαρμόζονται μόνο εφόσον τα σχετικά περιστατικά οφείλονται σε πράξη ή παράλειψη του δικαιούχου ή του αντισυμβαλλομένου και δεν ανάγονται σε λόγους ανωτέρας βίας ή σε γεγονότα που εκφεύγουν της σφαίρας ελέγχου του.</w:t>
      </w:r>
      <w:br/>
      <w:r>
        <w:rPr>
          <w:sz w:val="22"/>
          <w:szCs w:val="22"/>
        </w:rPr>
        <w:t xml:space="preserve">9. Η ανάκληση της προέγκρισης, η απένταξη του έργου, η καταγγελία ή η λύση της σύμβασης χρηματοδότησης συνεπάγονται αυτοδικαίως τη διακοπή της χρηματοδότησης και την απώλεια κάθε δικαιώματος καταβολής των υπολειπόμενων δόσεων. Το Ε.Κ.Κ.Ο.ΜΕ.Δ. δύναται να αναζητεί, εν όλω ή εν μέρει, ποσά που έχουν καταβληθεί αχρεωστήτως ή κατά παράβαση των όρων της χρηματοδότησης, καθώς και ποσά που έχουν καταβληθεί για έργα τα οποία δεν ολοκληρώθηκαν ή δεν υλοποιήθηκαν σύμφωνα με τους όρους της απόφασης προέγκρισης, της σύμβασης χρηματοδότησης ή του Κανονισμού του Προγράμματος.</w:t>
      </w:r>
      <w:br/>
      <w:r>
        <w:rPr>
          <w:sz w:val="22"/>
          <w:szCs w:val="22"/>
        </w:rPr>
        <w:t xml:space="preserve">10. Σε περιπτώσεις υποβολής ψευδών, ανακριβών ή παραπλανητικών στοιχείων, απόκρυψης σύγκρουσης συμφερόντων, σοβαρής ή κατ’ επανάληψη παραβίασης των όρων χρηματοδότησης, παρεμπόδισης των προβλεπόμενων ελέγχων ή μη συμμόρφωσης με υποχρέωση επιστροφής ποσών που έχουν αναζητηθεί νομίμως από το Ε.Κ.Κ.Ο.ΜΕ.Δ., δύναται να επιβάλλεται στον δικαιούχο ή στον αντισυμβαλλόμενο αποκλεισμός από τη συμμετοχή σε προγράμματα χρηματοδοτικής στήριξης του Ε.Κ.Κ.Ο.ΜΕ.Δ. για χρονικό διάστημα έως πέντε (5) έτη, σύμφωνα με τα ειδικότερα οριζόμενα στον Κανονισμό του Προγράμματος.</w:t>
      </w:r>
      <w:br/>
      <w:r>
        <w:rPr>
          <w:sz w:val="22"/>
          <w:szCs w:val="22"/>
        </w:rPr>
        <w:t xml:space="preserve">11. Πριν από την έκδοση της σχετικής απόφασης, παρέχεται στον ενδιαφερόμενο δικαίωμα προηγούμενης ακρόασης, σύμφωνα με το άρθρο 6 του Κώδικα Διοικητικής Διαδικασίας (ν. 2690/1999, Α΄ 45). Η απόφαση είναι ειδικώς αιτιολογημένη, κοινοποιείται στον ενδιαφερόμενο και δεν γεννά δικαίωμα αποζημίωσης σε βάρος του Ε.Κ.Κ.Ο.ΜΕ.Δ. ή του Ελληνικού Δημοσίου.</w:t>
      </w:r>
    </w:p>
    <w:p>
      <w:pPr>
        <w:jc w:val="both"/>
      </w:pPr>
      <w:r>
        <w:rPr>
          <w:sz w:val="22"/>
          <w:szCs w:val="22"/>
        </w:rPr>
        <w:t xml:space="preserve">Άρθρο 85</w:t>
      </w:r>
      <w:br/>
      <w:r>
        <w:rPr>
          <w:sz w:val="22"/>
          <w:szCs w:val="22"/>
        </w:rPr>
        <w:t xml:space="preserve">Κεντρική Επιτροπή Αξιολόγησης και Επιλογής</w:t>
      </w:r>
      <w:br/>
      <w:r>
        <w:rPr>
          <w:sz w:val="22"/>
          <w:szCs w:val="22"/>
        </w:rPr>
        <w:t xml:space="preserve">1. Στο Ε.Κ.Κ.Ο.ΜΕ.Δ. συστήνεται πενταμελής Κεντρική Επιτροπή Αξιολόγησης και Επιλογής, η οποία αποτελείται από:</w:t>
      </w:r>
      <w:br/>
      <w:r>
        <w:rPr>
          <w:sz w:val="22"/>
          <w:szCs w:val="22"/>
        </w:rPr>
        <w:t xml:space="preserve">α) τον Γενικό Διευθυντή Ελληνικού Κινηματογράφου του Ε.Κ.Κ.Ο.ΜΕ.Δ., ως Πρόεδρο,</w:t>
      </w:r>
      <w:br/>
      <w:r>
        <w:rPr>
          <w:sz w:val="22"/>
          <w:szCs w:val="22"/>
        </w:rPr>
        <w:t xml:space="preserve">β) τον Γενικό Διευθυντή Οικονομικής και Διοικητικής Υποστήριξης του Ε.Κ.Κ.Ο.ΜΕ.Δ., ως μέλος,</w:t>
      </w:r>
      <w:br/>
      <w:r>
        <w:rPr>
          <w:sz w:val="22"/>
          <w:szCs w:val="22"/>
        </w:rPr>
        <w:t xml:space="preserve">γ) τον Πρόεδρο του Διοικητικού Συμβουλίου του Διεθνούς Φεστιβάλ Κινηματογράφου Θεσσαλονίκης (Δ.Φ.Κ.Θ.) ή ένα (1) πρόσωπο με αποδεδειγμένη επαγγελματική εμπειρία στον κινηματογραφικό και οπτικοακουστικό τομέα, που υποδεικνύεται από το Διοικητικό Συμβούλιο του Δ.Φ.Κ.Θ.,</w:t>
      </w:r>
      <w:br/>
      <w:r>
        <w:rPr>
          <w:sz w:val="22"/>
          <w:szCs w:val="22"/>
        </w:rPr>
        <w:t xml:space="preserve">δ) τον Πρόεδρο του Διοικητικού Συμβουλίου της Ελληνικής Ακαδημίας Κινηματογράφου (Ε.Α.Κ.) ή ένα (1) πρόσωπο με αποδεδειγμένη επαγγελματική εμπειρία στον κινηματογραφικό και οπτικοακουστικό τομέα, που υποδεικνύεται από το Διοικητικό Συμβούλιο της Ε.Α.Κ., και</w:t>
      </w:r>
      <w:br/>
      <w:r>
        <w:rPr>
          <w:sz w:val="22"/>
          <w:szCs w:val="22"/>
        </w:rPr>
        <w:t xml:space="preserve">ε) ένα (1) πρόσωπο με αποδεδειγμένη επαγγελματική εμπειρία στον κινηματογραφικό και οπτικοακουστικό τομέα, που υποδεικνύεται από τον Υπουργό Πολιτισμού.</w:t>
      </w:r>
      <w:br/>
      <w:r>
        <w:rPr>
          <w:sz w:val="22"/>
          <w:szCs w:val="22"/>
        </w:rPr>
        <w:t xml:space="preserve">2. Η θητεία των μελών των περ. γ) έως ε) είναι ετήσια και δύναται να ανανεώνεται για ίσο χρονικό διάστημα. Εάν, κατά τη διάρκεια της θητείας τους, τα μέλη αυτά συμμετάσχουν, άμεσα ή έμμεσα και με οποιονδήποτε τρόπο, σε κινηματογραφικό έργο ή σχέδιο που υποβάλλεται προς χρηματοδότηση στο πλαίσιο του Προγράμματος, η ιδιότητά τους ως μελών της Κεντρικής Επιτροπής Αξιολόγησης και Επιλογής παύει αυτοδικαίως από την ημερομηνία υποβολής της σχετικής αίτησης χρηματοδότησης. Στην περίπτωση αυτή, το Διοικητικό Συμβούλιο του Ε.Κ.Κ.Ο.ΜΕ.Δ. ορίζει αμελλητί νέο μέλος για το υπόλοιπο της θητείας.</w:t>
      </w:r>
      <w:br/>
      <w:r>
        <w:rPr>
          <w:sz w:val="22"/>
          <w:szCs w:val="22"/>
        </w:rPr>
        <w:t xml:space="preserve">3. Η Επιτροπή συγκροτείται με απόφαση του Διοικητικού Συμβουλίου του Ε.Κ.Κ.Ο.ΜΕ.Δ. και λειτουργεί σύμφωνα με τον παρόντα νόμο και τον Κανονισμό του Προγράμματος. Χρέη γραμματέα ασκεί υπάλληλος του Ε.Κ.Κ.Ο.ΜΕ.Δ.</w:t>
      </w:r>
      <w:br/>
      <w:r>
        <w:rPr>
          <w:sz w:val="22"/>
          <w:szCs w:val="22"/>
        </w:rPr>
        <w:t xml:space="preserve">4. Η Κεντρική Επιτροπή Αξιολόγησης και Επιλογής, λαμβάνοντας υπόψη τα αποτελέσματα της διαδικασίας αξιολόγησης, τον διαθέσιμο προϋπολογισμό και τους στόχους της εθνικής κινηματογραφικής πολιτικής:</w:t>
      </w:r>
      <w:br/>
      <w:r>
        <w:rPr>
          <w:sz w:val="22"/>
          <w:szCs w:val="22"/>
        </w:rPr>
        <w:t xml:space="preserve">α) προβαίνει στην τελική κατανομή των διαθέσιμων πόρων μεταξύ των προτάσεων που έχουν αξιολογηθεί θετικά,</w:t>
      </w:r>
      <w:br/>
      <w:r>
        <w:rPr>
          <w:sz w:val="22"/>
          <w:szCs w:val="22"/>
        </w:rPr>
        <w:t xml:space="preserve">β) καθορίζει το ύψος της χρηματοδοτικής στήριξης ανά έργο και δύναται, με ειδική αιτιολογία, να αποκλίνει από την εισήγηση της αρμόδιας υπηρεσίας ή να θέτει ειδικούς όρους, προϋποθέσεις, χρονοδιαγράμματα ή παραδοτέα για την καταβολή της χρηματοδότησης,</w:t>
      </w:r>
      <w:br/>
      <w:r>
        <w:rPr>
          <w:sz w:val="22"/>
          <w:szCs w:val="22"/>
        </w:rPr>
        <w:t xml:space="preserve">γ) δύναται να καλεί τους αιτούντες σε διαδικασία παρουσίασης, συνέντευξης ή παροχής διευκρινίσεων, σύμφωνα με τα ειδικότερα οριζόμενα στον Κανονισμό του Προγράμματος,</w:t>
      </w:r>
      <w:br/>
      <w:r>
        <w:rPr>
          <w:sz w:val="22"/>
          <w:szCs w:val="22"/>
        </w:rPr>
        <w:t xml:space="preserve">δ) αποφασίζει για την έγκριση, την προέγκριση ή την απόρριψη των αιτήσεων χρηματοδότησης και</w:t>
      </w:r>
      <w:br/>
      <w:r>
        <w:rPr>
          <w:sz w:val="22"/>
          <w:szCs w:val="22"/>
        </w:rPr>
        <w:t xml:space="preserve">ε) ασκεί κάθε άλλη αρμοδιότητα που της ανατίθεται με τον Κανονισμό του Προγράμματος.</w:t>
      </w:r>
      <w:br/>
      <w:r>
        <w:rPr>
          <w:sz w:val="22"/>
          <w:szCs w:val="22"/>
        </w:rPr>
        <w:t xml:space="preserve">5. Στην Επιτροπή εισηγείται, χωρίς δικαίωμα ψήφου, ο προϊστάμενος της οργανικής μονάδας που είναι αρμόδια για την υλοποίηση του αντίστοιχου προγράμματος ή της αντίστοιχης δράσης χρηματοδότησης.</w:t>
      </w:r>
      <w:br/>
      <w:r>
        <w:rPr>
          <w:sz w:val="22"/>
          <w:szCs w:val="22"/>
        </w:rPr>
        <w:t xml:space="preserve">6. Τα μέλη της Επιτροπής υπογράφουν δήλωση εμπιστευτικότητας και δήλωση μη σύγκρουσης συμφερόντων πριν από την ανάληψη των καθηκόντων τους. Μέλος που βρίσκεται σε κατάσταση σύγκρουσης συμφερόντων υποχρεούται να απέχει από κάθε σχετική συζήτηση, αξιολόγηση ή λήψη απόφασης. Σε περίπτωση παράλειψης δήλωσης ή μη αποχής μέλους που τελεί σε σύγκρουση συμφερόντων:</w:t>
      </w:r>
      <w:br/>
      <w:r>
        <w:rPr>
          <w:sz w:val="22"/>
          <w:szCs w:val="22"/>
        </w:rPr>
        <w:t xml:space="preserve">α) η συμμετοχή του καθιστά μη νόμιμη τη λειτουργία της Επιτροπής ως προς την οικεία αίτηση και συνιστά λόγο ανάκλησης ή ακύρωσης της σχετικής απόφασης, με αναπομπή για εκ νέου αξιολόγηση από νόμιμη σύνθεση,</w:t>
      </w:r>
      <w:br/>
      <w:r>
        <w:rPr>
          <w:sz w:val="22"/>
          <w:szCs w:val="22"/>
        </w:rPr>
        <w:t xml:space="preserve">β) το μέλος αντικαθίσταται και δύναται να παυθεί από την Επιτροπή με απόφαση του αρμόδιου οργάνου του Ε.Κ.Κ.Ο.ΜΕ.Δ.</w:t>
      </w:r>
      <w:br/>
      <w:r>
        <w:rPr>
          <w:sz w:val="22"/>
          <w:szCs w:val="22"/>
        </w:rPr>
        <w:t xml:space="preserve">7. Η λειτουργία της Επιτροπής διέπεται από τις αρχές της διαφάνειας, της ίσης μεταχείρισης, της αντικειμενικότητας, της τεκμηρίωσης των αποφάσεων και της χρηστής δημοσιονομικής διαχείρισης.</w:t>
      </w:r>
      <w:br/>
      <w:r>
        <w:rPr>
          <w:sz w:val="22"/>
          <w:szCs w:val="22"/>
        </w:rPr>
        <w:t xml:space="preserve">8. Η Επιτροπή λειτουργεί ανεξάρτητα κατά την άσκηση των αρμοδιοτήτων της και δεν υποκαθιστά τις αρμοδιότητες του Διοικητικού Συμβουλίου ή του Διευθύνοντος Συμβούλου του Ε.Κ.Κ.Ο.ΜΕ.Δ., οι οποίοι ασκούν τις αρμοδιότητές τους σύμφωνα με τον νόμο και το καταστατικό της εταιρείας.</w:t>
      </w:r>
    </w:p>
    <w:p>
      <w:pPr>
        <w:jc w:val="both"/>
      </w:pPr>
      <w:r>
        <w:rPr>
          <w:sz w:val="22"/>
          <w:szCs w:val="22"/>
        </w:rPr>
        <w:t xml:space="preserve">Άρθρο 86</w:t>
      </w:r>
      <w:br/>
      <w:r>
        <w:rPr>
          <w:sz w:val="22"/>
          <w:szCs w:val="22"/>
        </w:rPr>
        <w:t xml:space="preserve">Κανονισμοί Χρηματοδότησης Προγράμματος</w:t>
      </w:r>
      <w:br/>
      <w:r>
        <w:rPr>
          <w:sz w:val="22"/>
          <w:szCs w:val="22"/>
        </w:rPr>
        <w:t xml:space="preserve">1. Με απόφαση του Διοικητικού Συμβουλίου του Ε.Κ.Κ.Ο.ΜΕ.Δ., κατόπιν εισήγησης του Διευθύνοντος Συμβούλου, εγκρίνονται και τροποποιούνται οι Κανονισμοί Χρηματοδότησης των προγραμμάτων επιλεκτικής χρηματοδοτικής στήριξης που υλοποιεί η Εταιρεία, τηρουμένων των κανόνων κρατικών ενισχύσεων.</w:t>
      </w:r>
      <w:br/>
      <w:r>
        <w:rPr>
          <w:sz w:val="22"/>
          <w:szCs w:val="22"/>
        </w:rPr>
        <w:t xml:space="preserve">2. Με τους Κανονισμούς Χρηματοδότησης καθορίζονται:</w:t>
      </w:r>
      <w:br/>
      <w:r>
        <w:rPr>
          <w:sz w:val="22"/>
          <w:szCs w:val="22"/>
        </w:rPr>
        <w:t xml:space="preserve">α) οι κατηγορίες, οι δράσεις, οι μορφές και τα ανώτατα όρια της χρηματοδοτικής στήριξης,</w:t>
      </w:r>
      <w:br/>
      <w:r>
        <w:rPr>
          <w:sz w:val="22"/>
          <w:szCs w:val="22"/>
        </w:rPr>
        <w:t xml:space="preserve">β) οι δικαιούχοι, οι προϋποθέσεις συμμετοχής και τα κριτήρια επιλεξιμότητας,</w:t>
      </w:r>
      <w:br/>
      <w:r>
        <w:rPr>
          <w:sz w:val="22"/>
          <w:szCs w:val="22"/>
        </w:rPr>
        <w:t xml:space="preserve">γ) τα πολιτιστικά, καλλιτεχνικά, αναπτυξιακά, οικονομικά και λοιπά κριτήρια αξιολόγησης,</w:t>
      </w:r>
      <w:br/>
      <w:r>
        <w:rPr>
          <w:sz w:val="22"/>
          <w:szCs w:val="22"/>
        </w:rPr>
        <w:t xml:space="preserve">δ) οι διαδικασίες υποβολής, αξιολόγησης, επιλογής, έγκρισης και προέγκρισης των αιτήσεων,</w:t>
      </w:r>
      <w:br/>
      <w:r>
        <w:rPr>
          <w:sz w:val="22"/>
          <w:szCs w:val="22"/>
        </w:rPr>
        <w:t xml:space="preserve">ε) η λειτουργία των εξωτερικών αναγνωστών, των επιτροπών αξιολόγησης και κάθε σχετικό θέμα σύγκρουσης συμφερόντων, αμεροληψίας και εχεμύθειας,</w:t>
      </w:r>
      <w:br/>
      <w:r>
        <w:rPr>
          <w:sz w:val="22"/>
          <w:szCs w:val="22"/>
        </w:rPr>
        <w:t xml:space="preserve">στ) οι όροι χρηματοδότησης, οι υποχρεώσεις των δικαιούχων, οι συμβάσεις χρηματοδότησης και οι όροι οριστικής ένταξης των έργων,</w:t>
      </w:r>
      <w:br/>
      <w:r>
        <w:rPr>
          <w:sz w:val="22"/>
          <w:szCs w:val="22"/>
        </w:rPr>
        <w:t xml:space="preserve">ζ) τα στάδια, οι προϋποθέσεις και τα δικαιολογητικά εκταμίευσης της χρηματοδοτικής στήριξης,</w:t>
      </w:r>
      <w:br/>
      <w:r>
        <w:rPr>
          <w:sz w:val="22"/>
          <w:szCs w:val="22"/>
        </w:rPr>
        <w:t xml:space="preserve">η) οι επιλέξιμες δαπάνες σύμφωνα με τον ν. 5264/2025 (Α΄ 239), τα παραδοτέα, οι διαδικασίες παρακολούθησης, ελέγχου και πιστοποίησης της υλοποίησης των έργων,</w:t>
      </w:r>
      <w:br/>
      <w:r>
        <w:rPr>
          <w:sz w:val="22"/>
          <w:szCs w:val="22"/>
        </w:rPr>
        <w:t xml:space="preserve">θ) οι όροι συμμετοχής του Ε.Κ.Κ.Ο.ΜΕ.Δ. στα έσοδα εκμετάλλευσης των χρηματοδοτούμενων έργων, καθώς και οι διαδικασίες είσπραξης, ανάκτησης, ανακύκλωσης και επανεπένδυσης των σχετικών πόρων,</w:t>
      </w:r>
      <w:br/>
      <w:r>
        <w:rPr>
          <w:sz w:val="22"/>
          <w:szCs w:val="22"/>
        </w:rPr>
        <w:t xml:space="preserve">ι) οι περιπτώσεις και οι συνέπειες ανάκλησης, απένταξης, επιστροφής ποσών και αποκλεισμού από μελλοντικά προγράμματα,</w:t>
      </w:r>
      <w:br/>
      <w:r>
        <w:rPr>
          <w:sz w:val="22"/>
          <w:szCs w:val="22"/>
        </w:rPr>
        <w:t xml:space="preserve">ια) οι κύκλοι υποβολής και αξιολόγησης, οι προθεσμίες και κάθε αναγκαία τεχνική ή διαδικαστική λεπτομέρεια για την εφαρμογή των προγραμμάτων,</w:t>
      </w:r>
      <w:br/>
      <w:r>
        <w:rPr>
          <w:sz w:val="22"/>
          <w:szCs w:val="22"/>
        </w:rPr>
        <w:t xml:space="preserve">ιβ) η διαδικασία, οι προϋποθέσεις και τα αρμόδια όργανα έγκρισης των τροποποιήσεων,</w:t>
      </w:r>
      <w:br/>
      <w:r>
        <w:rPr>
          <w:sz w:val="22"/>
          <w:szCs w:val="22"/>
        </w:rPr>
        <w:t xml:space="preserve">ιγ) κάθε άλλο ειδικό, τεχνικό ή λεπτομερειακό θέμα που είναι αναγκαίο για την εφαρμογή των προγραμμάτων χρηματοδοτικής στήριξης του Ε.Κ.Κ.Ο.ΜΕ.Δ.</w:t>
      </w:r>
      <w:br/>
      <w:r>
        <w:rPr>
          <w:sz w:val="22"/>
          <w:szCs w:val="22"/>
        </w:rPr>
        <w:t xml:space="preserve">3. Με Κανονισμό Χρηματοδότησης δύνανται να θεσπίζονται προγράμματα επιλεκτικής χρηματοδοτικής στήριξης:</w:t>
      </w:r>
      <w:br/>
      <w:r>
        <w:rPr>
          <w:sz w:val="22"/>
          <w:szCs w:val="22"/>
        </w:rPr>
        <w:t xml:space="preserve">α) στους τομείς της εκπαίδευσης, κατάρτισης, έρευνας, καινοτομίας και ανάπτυξης δεξιοτήτων στους τομείς του κινηματογράφου, των οπτικοακουστικών μέσων και των δημιουργικών βιομηχανιών, συμπεριλαμβανομένων ιδίως υποτροφιών, βραβείων, σπουδαστικών έργων και δράσεων συμπερίληψης και προσβασιμότητας,</w:t>
      </w:r>
      <w:br/>
      <w:r>
        <w:rPr>
          <w:sz w:val="22"/>
          <w:szCs w:val="22"/>
        </w:rPr>
        <w:t xml:space="preserve">β) για τη στήριξη, προώθηση, διάδοση και αξιοποίηση των ελληνικών κινηματογραφικών έργων στην Ελλάδα και το εξωτερικό, συμπεριλαμβανομένης ιδίως της διανομής, της συμμετοχής σε φεστιβάλ, αγορές και επαγγελματικές διοργανώσεις, της ανάπτυξης κοινού και κάθε άλλης δράσης που συμβάλλει στην ενίσχυση της απήχησης και της διεθνούς παρουσίας του ελληνικού κινηματογράφου,</w:t>
      </w:r>
      <w:br/>
      <w:r>
        <w:rPr>
          <w:sz w:val="22"/>
          <w:szCs w:val="22"/>
        </w:rPr>
        <w:t xml:space="preserve">γ) για έργα και δράσεις που αξιοποιούν ψηφιακές τεχνολογίες, τεχνητή νοημοσύνη, διαδραστικά μέσα, ψηφιακά παιχνίδια (gaming), τεχνολογίες εμβύθισης (XR, VR, AR), νέες μορφές αφήγησης και κάθε άλλη καινοτόμο μορφή οπτικοακουστικής ή δημιουργικής έκφρασης που εμπίπτει στους σκοπούς του Ε.Κ.Κ.Ο.ΜΕ.Δ.</w:t>
      </w:r>
    </w:p>
    <w:p>
      <w:pPr>
        <w:jc w:val="both"/>
      </w:pPr>
      <w:r>
        <w:rPr>
          <w:sz w:val="22"/>
          <w:szCs w:val="22"/>
        </w:rPr>
        <w:t xml:space="preserve">ΚΕΦΑΛΑΙΟ Δ΄</w:t>
      </w:r>
      <w:br/>
      <w:r>
        <w:rPr>
          <w:sz w:val="22"/>
          <w:szCs w:val="22"/>
        </w:rPr>
        <w:t xml:space="preserve">ΚΟΙΝΕΣ ΔΙΑΤΑΞΕΙΣ ΕΛΕΓΧΟΥ, ΔΙΑΦΑΝΕΙΑΣ ΚΑΙ ΣΥΜΜΟΡΦΩΣΗΣ ΚΕΦΑΛΑΙΩΝ Β’ ΚΑΙ Γ</w:t>
      </w:r>
    </w:p>
    <w:p>
      <w:pPr>
        <w:jc w:val="both"/>
      </w:pPr>
      <w:r>
        <w:rPr>
          <w:sz w:val="22"/>
          <w:szCs w:val="22"/>
        </w:rPr>
        <w:t xml:space="preserve">Άρθρο 87</w:t>
      </w:r>
      <w:br/>
      <w:r>
        <w:rPr>
          <w:sz w:val="22"/>
          <w:szCs w:val="22"/>
        </w:rPr>
        <w:t xml:space="preserve">Έλεγχος σώρευσης κρατικών ενισχύσεων και αριθμός ταυτότητας έργου</w:t>
      </w:r>
      <w:br/>
      <w:r>
        <w:rPr>
          <w:sz w:val="22"/>
          <w:szCs w:val="22"/>
        </w:rPr>
        <w:t xml:space="preserve">1. Κάθε έργο που χρηματοδοτείται από οποιοδήποτε χρηματοδοτικό εργαλείο του Ε.Κ.Κ.Ο.ΜΕ.Δ. υπόκειται σε έλεγχο σώρευσης κρατικών ενισχύσεων από την αρμόδια αρχή του Ε.Κ.Κ.Ο.ΜΕ.Δ. σε όλα τα στάδια της διαδικασίας χορήγησης της ενίσχυσης και, σε κάθε περίπτωση, πριν από την καταβολή της. Ο έλεγχος αυτός διενεργείται κατά προτεραιότητα στις περιπτώσεις συνδυασμού περισσότερων χρηματοδοτικών ενισχύσεων ή καθεστώτων στήριξης για το ίδιο έργο.</w:t>
      </w:r>
      <w:br/>
      <w:r>
        <w:rPr>
          <w:sz w:val="22"/>
          <w:szCs w:val="22"/>
        </w:rPr>
        <w:t xml:space="preserve">2. Για τους σκοπούς του ελέγχου σώρευσης ενισχύσεων, η χορηγούσα αρχή δύναται να αποδίδει σε κάθε έργο μοναδικό αναγνωριστικό αριθμό ταυτότητας έργου (Α.Τ.Ε.). Ο Α.Τ.Ε. αντιστοιχίζεται σε ηλεκτρονικό φάκελο έργου, ο οποίος τηρείται στο πληροφοριακό σύστημα του Ε.Κ.Κ.Ο.ΜΕ.Δ. και στον οποίο καταχωρίζονται ιδίως:</w:t>
      </w:r>
      <w:br/>
      <w:r>
        <w:rPr>
          <w:sz w:val="22"/>
          <w:szCs w:val="22"/>
        </w:rPr>
        <w:t xml:space="preserve">α) το σύνολο των αιτηθεισών και χορηγηθεισών ενισχύσεων,</w:t>
      </w:r>
      <w:br/>
      <w:r>
        <w:rPr>
          <w:sz w:val="22"/>
          <w:szCs w:val="22"/>
        </w:rPr>
        <w:t xml:space="preserve">β) οι επιλέξιμες δαπάνες του έργου,</w:t>
      </w:r>
      <w:br/>
      <w:r>
        <w:rPr>
          <w:sz w:val="22"/>
          <w:szCs w:val="22"/>
        </w:rPr>
        <w:t xml:space="preserve">γ) η υπολογιζόμενη ένταση ενίσχυσης,</w:t>
      </w:r>
      <w:br/>
      <w:r>
        <w:rPr>
          <w:sz w:val="22"/>
          <w:szCs w:val="22"/>
        </w:rPr>
        <w:t xml:space="preserve">δ) τα αποτελέσματα των ελέγχων σώρευσης κρατικών ενισχύσεων, σύμφωνα με τα άρθρα 8 και 54 του Γ.Α.Κ.</w:t>
      </w:r>
      <w:br/>
      <w:r>
        <w:rPr>
          <w:sz w:val="22"/>
          <w:szCs w:val="22"/>
        </w:rPr>
        <w:t xml:space="preserve">Ο Α.Τ.Ε. συνοδεύει το έργο καθ’ όλη τη διάρκεια του κύκλου ζωής του και χρησιμοποιείται σε κάθε μεταγενέστερη αίτηση χρηματοδότησης προς εθνικούς φορείς που χορηγούν κρατικές ενισχύσεις στον οπτικοακουστικό τομέα.</w:t>
      </w:r>
    </w:p>
    <w:p>
      <w:pPr>
        <w:jc w:val="both"/>
      </w:pPr>
      <w:r>
        <w:rPr>
          <w:sz w:val="22"/>
          <w:szCs w:val="22"/>
        </w:rPr>
        <w:t xml:space="preserve">Άρθρο 88</w:t>
      </w:r>
      <w:br/>
      <w:r>
        <w:rPr>
          <w:sz w:val="22"/>
          <w:szCs w:val="22"/>
        </w:rPr>
        <w:t xml:space="preserve">Μητρώο Εμπειρογνωμόνων Οπτικοακουστικού Δημιουργικού Τομέα</w:t>
      </w:r>
      <w:br/>
      <w:r>
        <w:rPr>
          <w:sz w:val="22"/>
          <w:szCs w:val="22"/>
        </w:rPr>
        <w:t xml:space="preserve">1. Στο Ε.Κ.Κ.Ο.ΜΕ.Δ. συστήνεται και λειτουργεί Ηλεκτρονικό Μητρώο Εμπειρογνωμόνων Οπτικοακουστικού Δημιουργικού Τομέα (Μ.Ε.Ο.Δ.Τ.), το οποίο αποτελεί τον επίσημο κατάλογο άντλησης φυσικών προσώπων στα οποία ανατίθενται οι αξιολογήσεις κινηματογραφικών ή επενδυτικών σχεδίων ή άλλων οπτικοακουστικών έργων που υποβάλλουν αίτηση χρηματοδότησης στα προγράμματα του Ε.Κ.Κ.Ο.ΜΕ.Δ.</w:t>
      </w:r>
      <w:br/>
      <w:r>
        <w:rPr>
          <w:sz w:val="22"/>
          <w:szCs w:val="22"/>
        </w:rPr>
        <w:t xml:space="preserve">2. Σκοπός του Μ.Ε.Ο.Δ.Τ. είναι:</w:t>
      </w:r>
      <w:br/>
      <w:r>
        <w:rPr>
          <w:sz w:val="22"/>
          <w:szCs w:val="22"/>
        </w:rPr>
        <w:t xml:space="preserve">α) η διασφάλιση της ποιότητας, της αντικειμενικότητας και της αξιοπιστίας των διαδικασιών αξιολόγησης,</w:t>
      </w:r>
      <w:br/>
      <w:r>
        <w:rPr>
          <w:sz w:val="22"/>
          <w:szCs w:val="22"/>
        </w:rPr>
        <w:t xml:space="preserve">β) η ενίσχυση της διαφάνειας και της λογοδοσίας,</w:t>
      </w:r>
      <w:br/>
      <w:r>
        <w:rPr>
          <w:sz w:val="22"/>
          <w:szCs w:val="22"/>
        </w:rPr>
        <w:t xml:space="preserve">γ) η συγκρότηση πολυφωνικών και επιστημονικά επαρκών γνωμοδοτικών σχημάτων,</w:t>
      </w:r>
      <w:br/>
      <w:r>
        <w:rPr>
          <w:sz w:val="22"/>
          <w:szCs w:val="22"/>
        </w:rPr>
        <w:t xml:space="preserve">δ) η αποφυγή συγκρούσεων συμφερόντων και αδιαφανών πρακτικών.</w:t>
      </w:r>
      <w:br/>
      <w:r>
        <w:rPr>
          <w:sz w:val="22"/>
          <w:szCs w:val="22"/>
        </w:rPr>
        <w:t xml:space="preserve">3. Στο Μ.Ε.Ο.Δ.Τ. δύνανται να εγγραφούν, μετά από υποβολή αίτησης στο πληροφοριακό σύστημα του Ε.Κ.Κ.Ο.ΜΕ.Δ., η οποία συνοδεύεται από τα προβλεπόμενα στην πρόσκληση δικαιολογητικά, οι εξής:</w:t>
      </w:r>
      <w:br/>
      <w:r>
        <w:rPr>
          <w:sz w:val="22"/>
          <w:szCs w:val="22"/>
        </w:rPr>
        <w:t xml:space="preserve">α) Ιδιώτες με αποδεδειγμένη επαγγελματική ή επιστημονική εμπειρία στον κινηματογραφικό ή οπτικοακουστικό δημιουργικό τομέα, ιδίως στους τομείς της παραγωγής, της σεναριογραφίας, της σκηνοθεσίας, της τεχνολογίας, της διανομής και της προώθησης, της αρχειονομίας, της πολιτιστικής διαχείρισης ή συναφών αντικειμένων, καθώς και ιδιώτες εμπειρογνώμονες οικονομολόγοι, λογιστές ή εσωτερικοί ελεγκτές με εμπειρία στον κινηματογραφικό, οπτικοακουστικό ή εν γένει δημιουργικό τομέα,</w:t>
      </w:r>
      <w:br/>
      <w:r>
        <w:rPr>
          <w:sz w:val="22"/>
          <w:szCs w:val="22"/>
        </w:rPr>
        <w:t xml:space="preserve">β) προσωπικό του Ε.Κ.Κ.Ο.ΜΕ.Δ. με οποιαδήποτε σχέση εργασίας.</w:t>
      </w:r>
      <w:br/>
      <w:r>
        <w:rPr>
          <w:sz w:val="22"/>
          <w:szCs w:val="22"/>
        </w:rPr>
        <w:t xml:space="preserve">γ) υπάλληλοι δημοσίου ή ιδιωτικού δικαίου του δημόσιου τομέα, όπως αυτός ορίζεται στην περ. α) της παρ. 1 του άρθρου 14 του ν. 4270/2014 (Α΄ 143), με εμπειρία στην αξιολόγηση επενδυτικών σχεδίων καθεστώτων κρατικών ενισχύσεων.</w:t>
      </w:r>
      <w:br/>
      <w:r>
        <w:rPr>
          <w:sz w:val="22"/>
          <w:szCs w:val="22"/>
        </w:rPr>
        <w:t xml:space="preserve">δ) υπάλληλοι δημοσίων ελεγκτικών υπηρεσιών που είναι αρμόδιες για ενωσιακά ή εθνικά προγράμματα ενισχύσεων.</w:t>
      </w:r>
      <w:br/>
      <w:r>
        <w:rPr>
          <w:sz w:val="22"/>
          <w:szCs w:val="22"/>
        </w:rPr>
        <w:t xml:space="preserve">ε) δικηγόροι τουλάχιστον παρ’ Εφέταις.</w:t>
      </w:r>
      <w:br/>
      <w:r>
        <w:rPr>
          <w:sz w:val="22"/>
          <w:szCs w:val="22"/>
        </w:rPr>
        <w:t xml:space="preserve">4. Οι εγγεγραμμένοι στο Μ.Ε.Ο.Δ.Τ. υποχρεούνται να:</w:t>
      </w:r>
      <w:br/>
      <w:r>
        <w:rPr>
          <w:sz w:val="22"/>
          <w:szCs w:val="22"/>
        </w:rPr>
        <w:t xml:space="preserve">α) υποβάλλουν δήλωση μη σύγκρουσης συμφερόντων στην αρμόδια υπηρεσία του Ε.Κ.Κ.Ο.ΜΕ.Δ., η οποία επέχει θέση υπεύθυνης δήλωσης του άρθρου 8 του ν. 1599/1986 (Α΄ 75), πριν από την ανάθεση σε αυτούς κινηματογραφικών ή επενδυτικών σχεδίων και η οποία αφορά στη μη συμμετοχή τους καθ’ οιονδήποτε τρόπο σε έργα, δράσεις ή προτάσεις για τα οποία έχει υποβληθεί αίτηση χρηματοδότησης,</w:t>
      </w:r>
      <w:br/>
      <w:r>
        <w:rPr>
          <w:sz w:val="22"/>
          <w:szCs w:val="22"/>
        </w:rPr>
        <w:t xml:space="preserve">β) γνωστοποιούν αμελλητί κάθε δυνητική σύγκρουση συμφερόντων και, ειδικότερα, να ενημερώνουν την αρμόδια υπηρεσία του Ε.Κ.Κ.Ο.ΜΕ.Δ. αν έχουν συμμετάσχει, συμμετέχουν ή προτίθενται να συμμετάσχουν, άμεσα ή έμμεσα, στα κινηματογραφικά ή επενδυτικά σχέδια ή στα λοιπά οπτικοακουστικά έργα που έχουν υποβληθεί για αξιολόγηση και αν υπάρχει οικονομικό ή προσωπικό συμφέρον που ενδέχεται να δημιουργήσει σύγκρουση συμφερόντων και να θίξει την αμερόληπτη και αντικειμενική άσκηση των καθηκόντων τους,</w:t>
      </w:r>
      <w:br/>
      <w:r>
        <w:rPr>
          <w:sz w:val="22"/>
          <w:szCs w:val="22"/>
        </w:rPr>
        <w:t xml:space="preserve">γ) τηρούν εμπιστευτικότητα και να μη δημοσιοποιούν πληροφορίες σχετικά με τα προς αξιολόγηση κινηματογραφικά ή επενδυτικά σχέδια ή τα λοιπά οπτικοακουστικά έργα,</w:t>
      </w:r>
      <w:br/>
      <w:r>
        <w:rPr>
          <w:sz w:val="22"/>
          <w:szCs w:val="22"/>
        </w:rPr>
        <w:t xml:space="preserve">δ) υποβάλλουν δήλωση περιουσιακής κατάστασης και δήλωση οικονομικών συμφερόντων, εφόσον επιλέγονται ως αξιολογητές επενδυτικών σχεδίων στο πλαίσιο του Προγράμματος CRGR, επιπλέον των υποχρεώσεων των περ. α) έως γ).</w:t>
      </w:r>
      <w:br/>
      <w:r>
        <w:rPr>
          <w:sz w:val="22"/>
          <w:szCs w:val="22"/>
        </w:rPr>
        <w:t xml:space="preserve">5. Η εγγραφή στο Μ.Ε.Ο.Δ.Τ. από μόνη της δεν δημιουργεί οποιαδήποτε σχέση εξαρτημένης εργασίας με το Ε.Κ.Κ.Ο.ΜΕ.Δ.</w:t>
      </w:r>
      <w:br/>
      <w:r>
        <w:rPr>
          <w:sz w:val="22"/>
          <w:szCs w:val="22"/>
        </w:rPr>
        <w:t xml:space="preserve">6. Η ένταξη στο Μ.Ε.Ο.Δ.Τ. γίνεται από τριμελή επιτροπή αξιολόγησης των προσόντων των υποψηφίων προς εγγραφή, η οποία συστήνεται και συγκροτείται στο Ε.Κ.Κ.Ο.ΜΕ.Δ. με απόφαση του Διευθύνοντος Συμβούλου και στην οποία συμμετέχουν οι Γενικοί Διευθυντές ή οι Διευθυντές, εφόσον δεν υπάρχουν Γενικοί Διευθυντές, του Ε.Κ.Κ.Ο.ΜΕ.Δ.</w:t>
      </w:r>
      <w:br/>
      <w:r>
        <w:rPr>
          <w:sz w:val="22"/>
          <w:szCs w:val="22"/>
        </w:rPr>
        <w:t xml:space="preserve">7. Η ανάθεση κινηματογραφικών ή επενδυτικών σχεδίων ή άλλων οπτικοακουστικών έργων στους αξιολογητές του Μ.Ε.Ο.Δ.Τ. γίνεται κατά περίπτωση, με τρόπο που διασφαλίζει την εναλλαγή και την αποφυγή μονοπρόσωπης ή επαναλαμβανόμενης ανάθεσης, τη συνάφεια της εμπειρίας με το αξιολογούμενο αντικείμενο και την ισορροπία μεταξύ καλλιτεχνικών, τεχνικών και οικονομικών κριτηρίων.</w:t>
      </w:r>
      <w:br/>
      <w:r>
        <w:rPr>
          <w:sz w:val="22"/>
          <w:szCs w:val="22"/>
        </w:rPr>
        <w:t xml:space="preserve">8. Με απόφαση του Διοικητικού Συμβουλίου του Ε.Κ.Κ.Ο.ΜΕ.Δ. καθορίζονται οι ειδικότερες κατηγορίες εμπειρογνωμόνων, τα αναλυτικά κριτήρια εγγραφής στο Μ.Ε.Ο.Δ.Τ. και διαγραφής από αυτό, οι διαδικασίες επιλογής και ανάθεσης, οι κανόνες δεοντολογίας και οι περιπτώσεις ασυμβίβαστου, καθώς και κάθε άλλο θέμα σχετικό με τη σύσταση και τη λειτουργία του Μ.Ε.Ο.Δ.Τ.</w:t>
      </w:r>
    </w:p>
    <w:p>
      <w:pPr>
        <w:jc w:val="both"/>
      </w:pPr>
      <w:r>
        <w:rPr>
          <w:sz w:val="22"/>
          <w:szCs w:val="22"/>
        </w:rPr>
        <w:t xml:space="preserve">Άρθρο 89</w:t>
      </w:r>
      <w:br/>
      <w:r>
        <w:rPr>
          <w:sz w:val="22"/>
          <w:szCs w:val="22"/>
        </w:rPr>
        <w:t xml:space="preserve">Υποχρεώσεις σήμανσης, ελέγχου και κατάθεσης αντιγράφου των ενισχυόμενων οπτικοακουστικών έργων</w:t>
      </w:r>
      <w:br/>
      <w:r>
        <w:rPr>
          <w:sz w:val="22"/>
          <w:szCs w:val="22"/>
        </w:rPr>
        <w:t xml:space="preserve">1. Ο δικαιούχος ενίσχυσης για οπτικοακουστικό έργο από τα χρηματοδοτικά εργαλεία του παρόντος Μέρους υποχρεούται να αναφέρει ρητώς τη συμβολή και την υποστήριξη του Ε.Κ.Κ.Ο.ΜΕ.Δ. στους τίτλους τέλους (end credits) σε όλα τα τελικά εκμεταλλεύσιμα αντίγραφα του έργου.</w:t>
      </w:r>
      <w:br/>
      <w:r>
        <w:rPr>
          <w:sz w:val="22"/>
          <w:szCs w:val="22"/>
        </w:rPr>
        <w:t xml:space="preserve">2. Αν το έργο έχει λάβει χρηματοδοτική ενίσχυση για την παραγωγή ή τη μεταπαραγωγή του, ο παραγωγός υποχρεούται να συμπεριλάβει στους τίτλους αρχής του έργου, εφόσον υπάρχουν, την προβολή, αυτοτελώς και κατ’ αναλογία προς τα υπόλοιπα σήματα, εισαγωγικού οπτικοακουστικού σήματος (logo bumper) του Ε.Κ.Κ.Ο.ΜΕ.Δ., χωρίς ταυτόχρονη εμφάνιση άλλου λογοτύπου ή σήματος. Εξαίρεση από την υποχρέωση του προηγούμενου εδαφίου χορηγείται κατόπιν αίτησης του δικαιούχου και απόφασης του Διευθύνοντος Συμβούλου του Ε.Κ.Κ.Ο.ΜΕ.Δ.</w:t>
      </w:r>
      <w:br/>
      <w:r>
        <w:rPr>
          <w:sz w:val="22"/>
          <w:szCs w:val="22"/>
        </w:rPr>
        <w:t xml:space="preserve">3. Η μορφή, η διάρκεια, τα τεχνικά χαρακτηριστικά εικόνας και ήχου, καθώς και η ακριβής θέση της σήμανσης καθορίζονται με οδηγίες του Ε.Κ.Κ.Ο.ΜΕ.Δ. Τα σχετικά αρχεία σήμανσης παρέχονται από το Ε.Κ.Κ.Ο.ΜΕ.Δ. σε τυποποιημένες μορφές.</w:t>
      </w:r>
      <w:br/>
      <w:r>
        <w:rPr>
          <w:sz w:val="22"/>
          <w:szCs w:val="22"/>
        </w:rPr>
        <w:t xml:space="preserve">4. Η μη τήρηση ή η ελλιπής τήρηση των υποχρεώσεων σήμανσης συνιστά παράβαση ουσιώδους όρου της χρηματοδότησης, η οποία επιφέρει, κατόπιν προηγούμενης έγγραφης όχλησης και παροχής εύλογης προθεσμίας συμμόρφωσης, μερική ή ολική ανάκτηση της χορηγηθείσας ενίσχυσης.</w:t>
      </w:r>
      <w:br/>
      <w:r>
        <w:rPr>
          <w:sz w:val="22"/>
          <w:szCs w:val="22"/>
        </w:rPr>
        <w:t xml:space="preserve">5. Μετά την πρώτη δημόσια εκμετάλλευση του οπτικοακουστικού έργου και, ιδίως, μετά την κινηματογραφική πρεμιέρα ή τη διάθεσή του μέσω υπηρεσίας οπτικοακουστικών μέσων κατά παραγγελία (video on demand) ή συνεχούς ροής (streaming), ο δικαιούχος υποχρεούται να καταθέσει στο Ε.Κ.Κ.Ο.ΜΕ.Δ., με δική του δαπάνη, αντίγραφο του έργου σε μορφή και με τεχνικές προδιαγραφές που καθορίζονται από το Ε.Κ.Κ.Ο.ΜΕ.Δ., εντός προθεσμίας τριών (3) μηνών από την ημερομηνία της ανωτέρω πρώτης δημόσιας εκμετάλλευσης, αποκλειστικά για σκοπούς ελέγχου, τεκμηρίωσης και αρχειοθέτησης στο αποθετήριο του Ε.Κ.Κ.Ο.ΜΕ.Δ.</w:t>
      </w:r>
    </w:p>
    <w:p>
      <w:pPr>
        <w:jc w:val="both"/>
      </w:pPr>
      <w:r>
        <w:rPr>
          <w:sz w:val="22"/>
          <w:szCs w:val="22"/>
        </w:rPr>
        <w:t xml:space="preserve">Άρθρο 90</w:t>
      </w:r>
      <w:br/>
      <w:r>
        <w:rPr>
          <w:sz w:val="22"/>
          <w:szCs w:val="22"/>
        </w:rPr>
        <w:t xml:space="preserve">Διαδικασία ανάκτησης χορηγηθεισών ενισχύσεων</w:t>
      </w:r>
      <w:br/>
      <w:r>
        <w:rPr>
          <w:sz w:val="22"/>
          <w:szCs w:val="22"/>
        </w:rPr>
        <w:t xml:space="preserve">Σε περίπτωση μερικής ή ολικής ανάκτησης ενίσχυσης, το ποσό της ενίσχυσης, προσαυξημένο με τον νόμιμο τόκο από την ημερομηνία κάθε καταβολής, ανακτάται και, στη συνέχεια, βεβαιώνεται και εισπράττεται κατά τον Κώδικα Είσπραξης Δημοσίων Εσόδων (ν. 4978/2022, Α΄ 190). Τα σχετικά παραστατικά καταβολής των ενισχύσεων από το Ε.Κ.Κ.Ο.ΜΕ.Δ. αποτελούν νόμιμο τίτλο για τη βεβαίωση του χρέους, κατ’ εφαρμογή του άρθρου 58 του ν. 5100/2024 (Α΄ 49).</w:t>
      </w:r>
    </w:p>
    <w:p>
      <w:pPr>
        <w:jc w:val="both"/>
      </w:pPr>
      <w:r>
        <w:rPr>
          <w:sz w:val="22"/>
          <w:szCs w:val="22"/>
        </w:rPr>
        <w:t xml:space="preserve">ΚΕΦΑΛΑΙΟ Ε΄</w:t>
      </w:r>
      <w:br/>
      <w:r>
        <w:rPr>
          <w:sz w:val="22"/>
          <w:szCs w:val="22"/>
        </w:rPr>
        <w:t xml:space="preserve">ΕΙΔΙΚΑ ΧΡΗΜΑΤΟΔΟΤΙΚΑ ΠΡΟΓΡΑΜΜΑΤΑ</w:t>
      </w:r>
    </w:p>
    <w:p>
      <w:pPr>
        <w:jc w:val="both"/>
      </w:pPr>
      <w:r>
        <w:rPr>
          <w:sz w:val="22"/>
          <w:szCs w:val="22"/>
        </w:rPr>
        <w:t xml:space="preserve">Άρθρο 91</w:t>
      </w:r>
      <w:br/>
      <w:r>
        <w:rPr>
          <w:sz w:val="22"/>
          <w:szCs w:val="22"/>
        </w:rPr>
        <w:t xml:space="preserve">Πρόγραμμα Εξωστρέφειας του Οπτικοακουστικού Δημιουργικού Τομέα</w:t>
      </w:r>
      <w:br/>
      <w:r>
        <w:rPr>
          <w:sz w:val="22"/>
          <w:szCs w:val="22"/>
        </w:rPr>
        <w:t xml:space="preserve">1. Το Πρόγραμμα Εξωστρέφειας του Ο.Δ.Τ. αποτελεί αναπόσπαστο μέρος του Εθνικού Σχεδίου Δράσης για την ανάπτυξη του Ο.Δ.Τ. και διαρθρώνεται σε διακριτούς θεματικούς ή λειτουργικούς άξονες, οι οποίοι αποτυπώνουν τις στρατηγικές προτεραιότητες της εθνικής πολιτικής για την οπτικοακουστική δημιουργική οικονομία.</w:t>
      </w:r>
      <w:br/>
      <w:r>
        <w:rPr>
          <w:sz w:val="22"/>
          <w:szCs w:val="22"/>
        </w:rPr>
        <w:t xml:space="preserve">2. Το Πρόγραμμα Εξωστρέφειας συμπεριλαμβάνει ιδίως:</w:t>
      </w:r>
      <w:br/>
      <w:r>
        <w:rPr>
          <w:sz w:val="22"/>
          <w:szCs w:val="22"/>
        </w:rPr>
        <w:t xml:space="preserve">α) Ενισχύσεις σε φεστιβάλ και λοιπές εκδηλώσεις εξωστρέφειας του κινηματογραφικού και οπτικοακουστικού τομέα σε εθνικό και διεθνές επίπεδο,</w:t>
      </w:r>
      <w:br/>
      <w:r>
        <w:rPr>
          <w:sz w:val="22"/>
          <w:szCs w:val="22"/>
        </w:rPr>
        <w:t xml:space="preserve">β) ενισχύσεις σε φεστιβάλ και εκδηλώσεις εξωστρέφειας του Ο.Δ.Τ. που προωθούν την οπτικοακουστική σύζευξη μεταξύ οπτικοακουστικών τεχνών ή μεταξύ οπτικοακουστικών και μη οπτικοακουστικών τεχνών ή την τεχνολογική καινοτομία στον Ο.Δ.Τ.,</w:t>
      </w:r>
      <w:br/>
      <w:r>
        <w:rPr>
          <w:sz w:val="22"/>
          <w:szCs w:val="22"/>
        </w:rPr>
        <w:t xml:space="preserve">γ) ενισχύσεις σε ευρύτερες πολυθεματικές εκδηλώσεις, οι οποίες αποτελούν κατάλληλο πεδίο ανάδειξης και προώθησης της ελληνικής οπτικοακουστικής δημιουργίας ως αναπτυξιακού και καλλιτεχνικού πυλώνα της Ελλάδας,</w:t>
      </w:r>
      <w:br/>
      <w:r>
        <w:rPr>
          <w:sz w:val="22"/>
          <w:szCs w:val="22"/>
        </w:rPr>
        <w:t xml:space="preserve">δ) ενισχύσεις δράσεων και πρωτοβουλιών της ομογένειας και των αποδήμων Ελλήνων στο εξωτερικό που συμβάλλουν στην προβολή και προώθηση του ελληνικού κινηματογραφικού και οπτικοακουστικού δημιουργικού τομέα σε διεθνές επίπεδο,</w:t>
      </w:r>
      <w:br/>
      <w:r>
        <w:rPr>
          <w:sz w:val="22"/>
          <w:szCs w:val="22"/>
        </w:rPr>
        <w:t xml:space="preserve">ε) υλοποίηση δράσεων εξωστρέφειας και λοιπών εκδηλώσεων του Ε.Κ.Κ.Ο.ΜΕ.Δ. στην Ελλάδα ή στο εξωτερικό,</w:t>
      </w:r>
      <w:br/>
      <w:r>
        <w:rPr>
          <w:sz w:val="22"/>
          <w:szCs w:val="22"/>
        </w:rPr>
        <w:t xml:space="preserve">στ) εθνικές αποστολές και διεθνείς εκπροσωπήσεις του Ε.Κ.Κ.Ο.ΜΕ.Δ. σε ξένα φεστιβάλ, φόρα ή αγορές, καθώς και εκπροσωπήσεις σε αντίστοιχες εκδηλώσεις εντός της Ελλάδας,</w:t>
      </w:r>
      <w:br/>
      <w:r>
        <w:rPr>
          <w:sz w:val="22"/>
          <w:szCs w:val="22"/>
        </w:rPr>
        <w:t xml:space="preserve">ζ) ενισχύσεις για τον πολιτισμό και τη διατήρηση της πολιτιστικής κληρονομιάς βάσει του άρθρου 53 του Γ.Α.Κ.,</w:t>
      </w:r>
      <w:br/>
      <w:r>
        <w:rPr>
          <w:sz w:val="22"/>
          <w:szCs w:val="22"/>
        </w:rPr>
        <w:t xml:space="preserve">η) ενισχύσεις που συνάπτονται με προγραμματικές συμβάσεις του άρθρου 100 του ν. 3852/2010 (Α΄ 87) ή με ειδικές πολιτιστικές συμβάσεις εξωστρέφειας και πολιτιστικής διπλωματίας του οπτικοακουστικού τομέα του άρθρου 94 του παρόντος, για την υλοποίηση δράσεων εξωστρέφειας και πολιτισμικής ανάπτυξης,</w:t>
      </w:r>
      <w:br/>
      <w:r>
        <w:rPr>
          <w:sz w:val="22"/>
          <w:szCs w:val="22"/>
        </w:rPr>
        <w:t xml:space="preserve">θ) ενισχύσεις δράσεων και πρωτοβουλιών που προάγουν τη συλλογική ιστορική μνήμη, την ανάδειξη της πολιτιστικής και ιστορικής ταυτότητας της Ελλάδας, τη δημοκρατική παιδεία, την κοινωνική συνοχή, την ισότητα και τη συμπερίληψη μέσω της παραγωγής, προβολής, διάδοσης ή αξιοποίησης οπτικοακουστικού περιεχομένου και πολιτιστικών τεκμηρίων.</w:t>
      </w:r>
      <w:br/>
      <w:r>
        <w:rPr>
          <w:sz w:val="22"/>
          <w:szCs w:val="22"/>
        </w:rPr>
        <w:t xml:space="preserve">3. Ο Κανονισμός του Προγράμματος Εξωστρέφειας εγκρίνεται και τροποποιείται με απόφαση του Διοικητικού Συμβουλίου (Δ.Σ.) του Ε.Κ.Κ.Ο.ΜΕ.Δ., κατόπιν εισήγησης του Διευθύνοντος Συμβούλου. Με απόφαση του Δ.Σ., κατόπιν εισήγησης του Διευθύνοντος Συμβούλου, εγκρίνονται ο ετήσιος συνολικός προϋπολογισμός του Προγράμματος Εξωστρέφειας και η κατανομή αυτού ανά άξονα, καθώς και κάθε μεταβολή της κατανομής ή αύξηση του συνολικού προϋπολογισμού κατά τη διάρκεια του έτους, εντός των ορίων του εκάστοτε εγκεκριμένου προϋπολογισμού του Ε.Κ.Κ.Ο.ΜΕ.Δ.</w:t>
      </w:r>
      <w:br/>
      <w:r>
        <w:rPr>
          <w:sz w:val="22"/>
          <w:szCs w:val="22"/>
        </w:rPr>
        <w:t xml:space="preserve">4. Οι δράσεις φορέων του Ο.Δ.Τ. που στηρίζονται ή ενισχύονται από το Ε.Κ.Κ.Ο.ΜΕ.Δ. περιλαμβάνουν υποχρεωτικά ανταποδοτικά οφέλη υπέρ του Ε.Κ.Κ.Ο.ΜΕ.Δ., τα οποία καθορίζονται αναλυτικά στον Κανονισμό του Προγράμματος Εξωστρέφειας και εξειδικεύονται στις σχετικές συμβάσεις ή αποφάσεις στήριξης ή ενίσχυσης.</w:t>
      </w:r>
      <w:br/>
      <w:r>
        <w:rPr>
          <w:sz w:val="22"/>
          <w:szCs w:val="22"/>
        </w:rPr>
        <w:t xml:space="preserve">5. Κάθε έκτακτη δράση εξωστρέφειας εγκρίνεται με απόφαση του Δ.Σ. του Ε.Κ.Κ.Ο.ΜΕ.Δ., κατόπιν εισήγησης του Διευθύνοντος Συμβούλου. Ως έκτακτη δράση νοείται ιδίως κάθε δράση που κρίνεται αναγκαία για την επίτευξη των στρατηγικών στόχων του Ε.Κ.Κ.Ο.ΜΕ.Δ., αλλά:</w:t>
      </w:r>
      <w:br/>
      <w:r>
        <w:rPr>
          <w:sz w:val="22"/>
          <w:szCs w:val="22"/>
        </w:rPr>
        <w:t xml:space="preserve">α) δεν περιλαμβάνεται στον εγκεκριμένο χρονοπρογραμματισμό του Προγράμματος Εξωστρέφειας,</w:t>
      </w:r>
      <w:br/>
      <w:r>
        <w:rPr>
          <w:sz w:val="22"/>
          <w:szCs w:val="22"/>
        </w:rPr>
        <w:t xml:space="preserve">β) δεν έχει προβλεφθεί σε κανέναν από τους εγκεκριμένους άξονες του Προγράμματος Εξωστρέφειας,</w:t>
      </w:r>
      <w:br/>
      <w:r>
        <w:rPr>
          <w:sz w:val="22"/>
          <w:szCs w:val="22"/>
        </w:rPr>
        <w:t xml:space="preserve">γ) υπερβαίνει το ανώτατο προβλεπόμενο ποσό ανά δράση ή άξονα, για λόγους ανωτέρας βίας ή απρόβλεπτων συνθηκών.</w:t>
      </w:r>
      <w:br/>
      <w:r>
        <w:rPr>
          <w:sz w:val="22"/>
          <w:szCs w:val="22"/>
        </w:rPr>
        <w:t xml:space="preserve">6. Η στήριξη φεστιβάλ, αγορών, ημερίδων και λοιπών εκδηλώσεων υλοποιείται βάσει ειδικών κριτηρίων και μέσω έγγραφων συμβάσεων, τηρουμένων των κανόνων κρατικών ενισχύσεων.</w:t>
      </w:r>
      <w:br/>
      <w:r>
        <w:rPr>
          <w:sz w:val="22"/>
          <w:szCs w:val="22"/>
        </w:rPr>
        <w:t xml:space="preserve">7. Οι δαπάνες διαμονής διεθνών εκπροσωπήσεων και εθνικών αποστολών που εντάσσονται στο Πρόγραμμα Εξωστρέφειας του Ο.Δ.Τ. στο εξωτερικό δύνανται να καλύπτονται μέχρι το πραγματικό κόστος τους και έως ποσοστό εβδομήντα τοις εκατό (70%) πέραν των εκάστοτε ισχυόντων ανώτατων ορίων διανυκτέρευσης που προβλέπονται στην υποπαρ. Δ.9 της παρ. Δ΄ του άρθρου 2 του ν. 4336/2015 (Α΄ 94), σύμφωνα με τον Κανονισμό του Προγράμματος Εξωστρέφειας και εντός του εγκεκριμένου προϋπολογισμού του Ε.Κ.Κ.Ο.ΜΕ.Δ.</w:t>
      </w:r>
      <w:br/>
      <w:r>
        <w:rPr>
          <w:sz w:val="22"/>
          <w:szCs w:val="22"/>
        </w:rPr>
        <w:t xml:space="preserve">8. Με απόφαση του Διευθύνοντος Συμβούλου του Ε.Κ.Κ.Ο.ΜΕ.Δ. δύναται να παρέχεται αιγίδα ή χρήση του σήματός του σε οπτικοακουστικές παραγωγές ή δράσεις που δεν έχουν χρηματοδοτηθεί από τα χρηματοδοτικά εργαλεία του, εφόσον αυτό ζητηθεί από τον ενδιαφερόμενο φορέα και κριθεί ότι εξυπηρετεί τους σκοπούς του Προγράμματος Εξωστρέφειας.</w:t>
      </w:r>
    </w:p>
    <w:p>
      <w:pPr>
        <w:jc w:val="both"/>
      </w:pPr>
      <w:r>
        <w:rPr>
          <w:sz w:val="22"/>
          <w:szCs w:val="22"/>
        </w:rPr>
        <w:t xml:space="preserve">Άρθρο 92</w:t>
      </w:r>
      <w:br/>
      <w:r>
        <w:rPr>
          <w:sz w:val="22"/>
          <w:szCs w:val="22"/>
        </w:rPr>
        <w:t xml:space="preserve">Φορολογικό κίνητρο για την ενίσχυση της παραγωγής οπτικοακουστικών έργων</w:t>
      </w:r>
      <w:br/>
      <w:r>
        <w:rPr>
          <w:sz w:val="22"/>
          <w:szCs w:val="22"/>
        </w:rPr>
        <w:t xml:space="preserve">Όπου στο άρθρο 71Ε του Κώδικα Φορολογίας Εισοδήματος (ν. 4172/2013, Α΄ 167) και στην κατ’ εξουσιοδότηση εκδοθείσα υπ’ αρ. 31548/13.11.2020 κοινή απόφαση των Υπουργών Οικονομικών και Επικρατείας και του Διοικητή της Ανεξάρτητης Αρχής Δημοσίων Εσόδων «Καθορισμός των επιλέξιμων δαπανών, των κατηγοριών των οπτικοακουστικών έργων, της διαδικασίας και του χρόνου ελέγχου της τήρησης των όρων και προϋποθέσεων των διατάξεων του άρθρου 71Ε του ν. 4172/2013 (Α’ 167), καθώς και των προϋποθέσεων, των όρων και της διαδικασίας και κάθε άλλης λεπτομέρειας για την εφαρμογή του άρθρου αυτού» (Β΄ 5021) γίνεται αναφορά σε διατάξεις του ν. 4487/2017 (Α΄ 116), νοούνται οι αντίστοιχες διατάξεις του παρόντος.</w:t>
      </w:r>
    </w:p>
    <w:p>
      <w:pPr>
        <w:jc w:val="both"/>
      </w:pPr>
      <w:r>
        <w:rPr>
          <w:sz w:val="22"/>
          <w:szCs w:val="22"/>
        </w:rPr>
        <w:t xml:space="preserve">Άρθρο 93</w:t>
      </w:r>
      <w:br/>
      <w:r>
        <w:rPr>
          <w:sz w:val="22"/>
          <w:szCs w:val="22"/>
        </w:rPr>
        <w:t xml:space="preserve">Θέσπιση δράσης για την ενίσχυση των μουσικών οπτικοακουστικών φεστιβάλ</w:t>
      </w:r>
      <w:br/>
      <w:r>
        <w:rPr>
          <w:sz w:val="22"/>
          <w:szCs w:val="22"/>
        </w:rPr>
        <w:t xml:space="preserve">1. Στο πλαίσιο της υλοποίησης του Εθνικού Σχεδίου Δράσης για την ανάπτυξη του Ο.Δ.Τ., θεσπίζεται ειδική δράση ενίσχυσης μουσικών οπτικοακουστικών φεστιβάλ, που διοργανώνονται στην Ελλάδα, με σκοπό:</w:t>
      </w:r>
      <w:br/>
      <w:r>
        <w:rPr>
          <w:sz w:val="22"/>
          <w:szCs w:val="22"/>
        </w:rPr>
        <w:t xml:space="preserve">α) την ενίσχυση της πολιτιστικής δημιουργίας και της καλλιτεχνικής παραγωγής,</w:t>
      </w:r>
      <w:br/>
      <w:r>
        <w:rPr>
          <w:sz w:val="22"/>
          <w:szCs w:val="22"/>
        </w:rPr>
        <w:t xml:space="preserve">β) την ανάδειξη και προώθηση νέων καλλιτεχνών,</w:t>
      </w:r>
      <w:br/>
      <w:r>
        <w:rPr>
          <w:sz w:val="22"/>
          <w:szCs w:val="22"/>
        </w:rPr>
        <w:t xml:space="preserve">γ) την προσέλκυση διεθνούς κοινού και την ενίσχυση της εξωστρέφειας,</w:t>
      </w:r>
      <w:br/>
      <w:r>
        <w:rPr>
          <w:sz w:val="22"/>
          <w:szCs w:val="22"/>
        </w:rPr>
        <w:t xml:space="preserve">δ) την προβολή της χώρας ως προορισμού πολιτιστικών και οπτικοακουστικών παραγωγών,</w:t>
      </w:r>
      <w:br/>
      <w:r>
        <w:rPr>
          <w:sz w:val="22"/>
          <w:szCs w:val="22"/>
        </w:rPr>
        <w:t xml:space="preserve">ε) την προώθηση της οπτικοακουστικής σύζευξης μεταξύ μουσικής δημιουργίας και τεχνολογιών οπτικοακουστικής παραγωγής, μέσω της ενσωμάτωσης καινοτόμων μορφών καταγραφής, επεξεργασίας και διάχυσης περιεχομένου.</w:t>
      </w:r>
      <w:br/>
      <w:r>
        <w:rPr>
          <w:sz w:val="22"/>
          <w:szCs w:val="22"/>
        </w:rPr>
        <w:t xml:space="preserve">2. Τα μουσικά οπτικοακουστικά φεστιβάλ εντάσσονται στην κατηγορία των καλλιτεχνικών και πολιτιστικών εκδηλώσεων, συμπεριλαμβανομένων φεστιβάλ, παραστάσεων, εκθέσεων και συναφών δραστηριοτήτων, κατά την έννοια του άρθρου 53 του Γ.Α.Κ., και τυγχάνουν επενδυτικών ή λειτουργικών ενισχύσεων για πολιτιστικούς σκοπούς, υπό τους όρους και τους περιορισμούς του εν λόγω άρθρου και υπό την προϋπόθεση ότι πληρούνται οι γενικοί όροι του Γ.Α.Κ., ιδίως ως προς τις επιλέξιμες δαπάνες και την αποφυγή υπεραντιστάθμισης.</w:t>
      </w:r>
      <w:br/>
      <w:r>
        <w:rPr>
          <w:sz w:val="22"/>
          <w:szCs w:val="22"/>
        </w:rPr>
        <w:t xml:space="preserve">3. Οι ενισχύσεις καλύπτουν αποκλειστικά δαπάνες που συνδέονται άμεσα και αναλογικά με την υλοποίηση της πολιτιστικής δραστηριότητας του φεστιβάλ, συμπεριλαμβανομένων ιδίως δαπανών για:</w:t>
      </w:r>
      <w:br/>
      <w:r>
        <w:rPr>
          <w:sz w:val="22"/>
          <w:szCs w:val="22"/>
        </w:rPr>
        <w:t xml:space="preserve">α) καλλιτεχνική παραγωγή,</w:t>
      </w:r>
      <w:br/>
      <w:r>
        <w:rPr>
          <w:sz w:val="22"/>
          <w:szCs w:val="22"/>
        </w:rPr>
        <w:t xml:space="preserve">β) τεχνική υποστήριξη, εξοπλισμό και υποδομές,</w:t>
      </w:r>
      <w:br/>
      <w:r>
        <w:rPr>
          <w:sz w:val="22"/>
          <w:szCs w:val="22"/>
        </w:rPr>
        <w:t xml:space="preserve">γ) οπτικοακουστική παραγωγή, καταγραφή, επεξεργασία και διάχυση περιεχομένου,</w:t>
      </w:r>
      <w:br/>
      <w:r>
        <w:rPr>
          <w:sz w:val="22"/>
          <w:szCs w:val="22"/>
        </w:rPr>
        <w:t xml:space="preserve">δ) ανάπτυξη καινοτόμων μορφών οπτικοακουστικής εμπειρίας, όπως μέσα εμβύθισης (immersive media), ζωντανή μετάδοση μέσω διαδικτύου (live streaming) και υβριδικές μορφές,</w:t>
      </w:r>
      <w:br/>
      <w:r>
        <w:rPr>
          <w:sz w:val="22"/>
          <w:szCs w:val="22"/>
        </w:rPr>
        <w:t xml:space="preserve">ε) προώθηση, διεθνή προβολή και προσέλκυση κοινού,</w:t>
      </w:r>
      <w:br/>
      <w:r>
        <w:rPr>
          <w:sz w:val="22"/>
          <w:szCs w:val="22"/>
        </w:rPr>
        <w:t xml:space="preserve">στ) λοιπές δαπάνες, εφόσον αυτές προκύπτουν άμεσα από την οργάνωση και υλοποίηση της πολιτιστικής εκδήλωσης, σύμφωνα με το άρθρο 53 του Γ.Α.Κ.</w:t>
      </w:r>
      <w:br/>
      <w:r>
        <w:rPr>
          <w:sz w:val="22"/>
          <w:szCs w:val="22"/>
        </w:rPr>
        <w:t xml:space="preserve">4. Για τους σκοπούς της παρούσας δράσης, ως μουσικό οπτικοακουστικό φεστιβάλ νοείται αποκλειστικά η οργανωμένη πολιτιστική διοργάνωση:</w:t>
      </w:r>
      <w:br/>
      <w:r>
        <w:rPr>
          <w:sz w:val="22"/>
          <w:szCs w:val="22"/>
        </w:rPr>
        <w:t xml:space="preserve">α) ελάχιστης διάρκειας δύο (2) συνεχόμενων ημερών,</w:t>
      </w:r>
      <w:br/>
      <w:r>
        <w:rPr>
          <w:sz w:val="22"/>
          <w:szCs w:val="22"/>
        </w:rPr>
        <w:t xml:space="preserve">β) στην οποία συμμετέχουν τουλάχιστον δέκα (10) καλλιτέχνες ή μουσικά σχήματα,</w:t>
      </w:r>
      <w:br/>
      <w:r>
        <w:rPr>
          <w:sz w:val="22"/>
          <w:szCs w:val="22"/>
        </w:rPr>
        <w:t xml:space="preserve">γ) η οποία ενσωματώνει ολοκληρωμένη και οργανωμένη οπτικοακουστική παραγωγή και καινοτόμα τεχνολογική διάσταση, στο πλαίσιο της οπτικοακουστικής σύζευξης, συμπεριλαμβανομένων ιδίως της πολυκάμερης καταγραφής, των προβολικών συστημάτων, των εγκαταστάσεων οπτικοακουστικής απεικόνισης, της ζωντανής μετάδοσης μέσω διαδικτύου ή άλλων μορφών δημιουργίας, επεξεργασίας και διάχυσης οπτικοακουστικού περιεχομένου.</w:t>
      </w:r>
      <w:br/>
      <w:r>
        <w:rPr>
          <w:sz w:val="22"/>
          <w:szCs w:val="22"/>
        </w:rPr>
        <w:t xml:space="preserve">5. Οι δράσεις μουσικών οπτικοακουστικών φεστιβάλ που ενισχύονται στο πλαίσιο της παρούσας δράσης περιλαμβάνουν υποχρεωτικά ανταποδοτικά οφέλη υπέρ του Ε.Κ.Κ.Ο.ΜΕ.Δ. Τα εν λόγω ανταποδοτικά οφέλη καθορίζονται αναλυτικά στον Κανονισμό Χρηματοδότησης του Προγράμματος και εξειδικεύονται περαιτέρω στις επιμέρους συμβάσεις ή αποφάσεις στήριξης.</w:t>
      </w:r>
      <w:br/>
      <w:r>
        <w:rPr>
          <w:sz w:val="22"/>
          <w:szCs w:val="22"/>
        </w:rPr>
        <w:t xml:space="preserve">6. Με απόφαση του Υπουργού Πολιτισμού, η οποία εκδίδεται κατόπιν γνώμης της Κεντρικής Μονάδας Κρατικών Ενισχύσεων, σύμφωνα με τον ν. 5000/2022 (Α΄ 226), εγκρίνεται Κανονισμός Χρηματοδότησης των μουσικών οπτικοακουστικών φεστιβάλ, με τον οποίο καθορίζονται οι όροι, οι προϋποθέσεις και η διαδικασία χορήγησης των ενισχύσεων της παρούσας δράσης, σύμφωνα με το άρθρο 53 του Γ.Α.Κ. Ο Κανονισμός Χρηματοδότησης καθορίζει ιδίως:</w:t>
      </w:r>
      <w:br/>
      <w:r>
        <w:rPr>
          <w:sz w:val="22"/>
          <w:szCs w:val="22"/>
        </w:rPr>
        <w:t xml:space="preserve">α) τους δικαιούχους και τα κριτήρια επιλεξιμότητας,</w:t>
      </w:r>
      <w:br/>
      <w:r>
        <w:rPr>
          <w:sz w:val="22"/>
          <w:szCs w:val="22"/>
        </w:rPr>
        <w:t xml:space="preserve">β) τα είδη ενίσχυσης, τα ποσοστά έντασης και τα ανώτατα όρια χρηματοδότησης, καθώς και τους κανόνες σώρευσης,</w:t>
      </w:r>
      <w:br/>
      <w:r>
        <w:rPr>
          <w:sz w:val="22"/>
          <w:szCs w:val="22"/>
        </w:rPr>
        <w:t xml:space="preserve">γ) τις επιλέξιμες δαπάνες, οι οποίες συνδέονται άμεσα με την πολιτιστική δραστηριότητα του φεστιβάλ,</w:t>
      </w:r>
      <w:br/>
      <w:r>
        <w:rPr>
          <w:sz w:val="22"/>
          <w:szCs w:val="22"/>
        </w:rPr>
        <w:t xml:space="preserve">δ) τη διαδικασία υποβολής, αξιολόγησης και έγκρισης αιτήσεων,</w:t>
      </w:r>
      <w:br/>
      <w:r>
        <w:rPr>
          <w:sz w:val="22"/>
          <w:szCs w:val="22"/>
        </w:rPr>
        <w:t xml:space="preserve">ε) τη διαδικασία παρακολούθησης και απολογισμού δαπανών, τον έλεγχο και την πιστοποίηση του φυσικού και οικονομικού αντικειμένου,</w:t>
      </w:r>
      <w:br/>
      <w:r>
        <w:rPr>
          <w:sz w:val="22"/>
          <w:szCs w:val="22"/>
        </w:rPr>
        <w:t xml:space="preserve">στ) τη διαδικασία καταβολής της ενίσχυσης, περιλαμβανομένων προκαταβολών και τελικής εκκαθάρισης,</w:t>
      </w:r>
      <w:br/>
      <w:r>
        <w:rPr>
          <w:sz w:val="22"/>
          <w:szCs w:val="22"/>
        </w:rPr>
        <w:t xml:space="preserve">ζ) τα ανταποδοτικά οφέλη υπέρ του Ε.Κ.Κ.Ο.ΜΕ.Δ.,</w:t>
      </w:r>
      <w:br/>
      <w:r>
        <w:rPr>
          <w:sz w:val="22"/>
          <w:szCs w:val="22"/>
        </w:rPr>
        <w:t xml:space="preserve">η) τις υποχρεώσεις των δικαιούχων, και</w:t>
      </w:r>
      <w:br/>
      <w:r>
        <w:rPr>
          <w:sz w:val="22"/>
          <w:szCs w:val="22"/>
        </w:rPr>
        <w:t xml:space="preserve">θ) τις περιπτώσεις ανάκλησης και επιστροφής ενισχύσεων, ιδίως σε περίπτωση υπεραντιστάθμισης.</w:t>
      </w:r>
      <w:br/>
      <w:r>
        <w:rPr>
          <w:sz w:val="22"/>
          <w:szCs w:val="22"/>
        </w:rPr>
        <w:t xml:space="preserve">7. Με απόφαση του Διοικητικού Συμβουλίου του Ε.Κ.Κ.Ο.ΜΕ.Δ. δύνανται να εξειδικεύονται τεχνικά, διαδικαστικά και λειτουργικά ζητήματα εφαρμογής του Κανονισμού Χρηματοδότησης των μουσικών οπτικοακουστικών φεστιβάλ της παρ. 6, καθώς και να εκδίδονται προσκλήσεις υποβολής αιτήσεων.</w:t>
      </w:r>
    </w:p>
    <w:p>
      <w:pPr>
        <w:jc w:val="both"/>
      </w:pPr>
      <w:r>
        <w:rPr>
          <w:sz w:val="22"/>
          <w:szCs w:val="22"/>
        </w:rPr>
        <w:t xml:space="preserve">Άρθρο 94</w:t>
      </w:r>
      <w:br/>
      <w:r>
        <w:rPr>
          <w:sz w:val="22"/>
          <w:szCs w:val="22"/>
        </w:rPr>
        <w:t xml:space="preserve">Προγραμματικές πολιτιστικές συμβάσεις εξωστρέφειας και πολιτιστικής διπλωματίας του οπτικοακουστικού δημιουργικού τομέα</w:t>
      </w:r>
      <w:br/>
      <w:r>
        <w:rPr>
          <w:sz w:val="22"/>
          <w:szCs w:val="22"/>
        </w:rPr>
        <w:t xml:space="preserve">1. Στο πλαίσιο της αποστολής του Ε.Κ.Κ.Ο.ΜΕ.Δ., σύμφωνα με το άρθρο 4 του ν. 5105/2024 (Α΄ 61), της υλοποίησης του Εθνικού Σχεδίου Δράσης για την ανάπτυξη του Ο.Δ.Τ. και του ετήσιου Προγράμματος Εξωστρέφειας, το Ε.Κ.Κ.Ο.ΜΕ.Δ. δύναται να συνάπτει ειδικές προγραμματικές πολιτιστικές συμβάσεις συνεργασίας με φορείς του δημόσιου τομέα, σύμφωνα με την περ. α) της παρ. 1 του άρθρου 14 του ν. 4270/2014 (Α΄ 143), οργανισμούς τοπικής αυτοδιοίκησης α΄ και β΄ βαθμού, νομικά πρόσωπα ιδιωτικού δικαίου μη κερδοσκοπικού χαρακτήρα, διεθνείς οργανισμούς, διεθνείς μη κερδοσκοπικούς φορείς, καθώς και φορείς της αλλοδαπής ή φορείς μη κερδοσκοπικού χαρακτήρα που συνεργάζονται με διεθνή δίκτυα και οργανισμούς, για την υλοποίηση δράσεων εξωστρέφειας και πολιτιστικής διπλωματίας στον Ο.Δ.Τ.</w:t>
      </w:r>
      <w:br/>
      <w:r>
        <w:rPr>
          <w:sz w:val="22"/>
          <w:szCs w:val="22"/>
        </w:rPr>
        <w:t xml:space="preserve">2. Οι συμβάσεις καταρτίζονται για την από κοινού υλοποίηση δράσεων κοινού δημόσιου σκοπού εξωστρέφειας και πολιτιστικής διπλωματίας στον Ο.Δ.Τ. και εξυπηρετούν ιδίως:</w:t>
      </w:r>
      <w:br/>
      <w:r>
        <w:rPr>
          <w:sz w:val="22"/>
          <w:szCs w:val="22"/>
        </w:rPr>
        <w:t xml:space="preserve">α) τη συγκρότηση συνεκτικής εθνικής πολιτικής εξωστρέφειας και πολιτιστικής διπλωματίας στον Ο.Δ.Τ.,</w:t>
      </w:r>
      <w:br/>
      <w:r>
        <w:rPr>
          <w:sz w:val="22"/>
          <w:szCs w:val="22"/>
        </w:rPr>
        <w:t xml:space="preserve">β) τη συστηματική προβολή της Ελλάδας ως διεθνούς κόμβου οπτικοακουστικής δημιουργίας,</w:t>
      </w:r>
      <w:br/>
      <w:r>
        <w:rPr>
          <w:sz w:val="22"/>
          <w:szCs w:val="22"/>
        </w:rPr>
        <w:t xml:space="preserve">γ) την ενίσχυση της εξαγωγικής δυναμικής και της ανταγωνιστικότητας του κλάδου,</w:t>
      </w:r>
      <w:br/>
      <w:r>
        <w:rPr>
          <w:sz w:val="22"/>
          <w:szCs w:val="22"/>
        </w:rPr>
        <w:t xml:space="preserve">δ) την προσέλκυση διεθνών παραγωγών, επενδύσεων και συνεργασιών,</w:t>
      </w:r>
      <w:br/>
      <w:r>
        <w:rPr>
          <w:sz w:val="22"/>
          <w:szCs w:val="22"/>
        </w:rPr>
        <w:t xml:space="preserve">ε) τη θεσμική παρουσία της χώρας και του Ε.Κ.Κ.Ο.ΜΕ.Δ. σε διεθνή φεστιβάλ, αγορές και δίκτυα στην Ελλάδα και το εξωτερικό.</w:t>
      </w:r>
      <w:br/>
      <w:r>
        <w:rPr>
          <w:sz w:val="22"/>
          <w:szCs w:val="22"/>
        </w:rPr>
        <w:t xml:space="preserve">Οι συμβάσεις προϋποθέτουν κοινό σχεδιασμό, κοινή οικονομική ή άλλης μορφής συνεισφορά και ενεργό συμμετοχή των συμβαλλομένων μερών, με αμοιβαίες υποχρεώσεις και ανταποδοτικά οφέλη υπέρ του Ε.Κ.Κ.Ο.ΜΕ.Δ. ή προς εξυπηρέτηση σκοπών δημοσίου συμφέροντος. Η χρηματοδοτική ή άλλη συνεισφορά του Ε.Κ.Κ.Ο.ΜΕ.Δ. τελεί σε άμεση συνάρτηση με την υλοποίηση συγκεκριμένων δράσεων και την επίτευξη μετρήσιμων αποτελεσμάτων, συνοδεύεται από όρους ανταποδοτικότητας και υπόκειται σε διαδικασίες παρακολούθησης, ελέγχου και πιστοποίησης.</w:t>
      </w:r>
      <w:br/>
      <w:r>
        <w:rPr>
          <w:sz w:val="22"/>
          <w:szCs w:val="22"/>
        </w:rPr>
        <w:t xml:space="preserve">3. Οι συμβάσεις καταρτίζονται με σαφή προσδιορισμό φυσικού αντικειμένου, στόχων, αποτελεσμάτων και δεικτών απόδοσης και σε αυτές:</w:t>
      </w:r>
      <w:br/>
      <w:r>
        <w:rPr>
          <w:sz w:val="22"/>
          <w:szCs w:val="22"/>
        </w:rPr>
        <w:t xml:space="preserve">α) τεκμηριώνονται ειδικώς ο δημόσιος σκοπός και η ένταξη στον στρατηγικό σχεδιασμό,</w:t>
      </w:r>
      <w:br/>
      <w:r>
        <w:rPr>
          <w:sz w:val="22"/>
          <w:szCs w:val="22"/>
        </w:rPr>
        <w:t xml:space="preserve">β) προσδιορίζονται σαφή παραδοτέα, χρονοδιαγράμματα και μετρήσιμα αποτελέσματα,</w:t>
      </w:r>
      <w:br/>
      <w:r>
        <w:rPr>
          <w:sz w:val="22"/>
          <w:szCs w:val="22"/>
        </w:rPr>
        <w:t xml:space="preserve">γ) η χρηματοδοτική ή άλλη συνεισφορά αντιστοιχεί αποκλειστικά σε πραγματικές και επαληθεύσιμες δράσεις δημοσίου συμφέροντος,</w:t>
      </w:r>
      <w:br/>
      <w:r>
        <w:rPr>
          <w:sz w:val="22"/>
          <w:szCs w:val="22"/>
        </w:rPr>
        <w:t xml:space="preserve">δ) τηρούνται οι κανόνες κρατικών ενισχύσεων,</w:t>
      </w:r>
      <w:br/>
      <w:r>
        <w:rPr>
          <w:sz w:val="22"/>
          <w:szCs w:val="22"/>
        </w:rPr>
        <w:t xml:space="preserve">ε) προβλέπονται ρήτρες ελέγχου, επαλήθευσης και ανάκτησης,</w:t>
      </w:r>
      <w:br/>
      <w:r>
        <w:rPr>
          <w:sz w:val="22"/>
          <w:szCs w:val="22"/>
        </w:rPr>
        <w:t xml:space="preserve">στ) διασφαλίζονται οι αρχές της χρηστής δημοσιονομικής διαχείρισης και της αναλογικότητας,</w:t>
      </w:r>
      <w:br/>
      <w:r>
        <w:rPr>
          <w:sz w:val="22"/>
          <w:szCs w:val="22"/>
        </w:rPr>
        <w:t xml:space="preserve">ζ) προσδιορίζονται η οικονομική ή άλλης μορφής συνεισφορά και οι ειδικές υποχρεώσεις κάθε συμβαλλόμενου μέρους.</w:t>
      </w:r>
      <w:br/>
      <w:r>
        <w:rPr>
          <w:sz w:val="22"/>
          <w:szCs w:val="22"/>
        </w:rPr>
        <w:t xml:space="preserve">4. Το οικονομικό αντικείμενο κάθε σύμβασης δεν δύναται να υπερβαίνει το εκάστοτε ισχύον κατώτατο όριο εφαρμογής των ενωσιακών οδηγιών για τη σύναψη δημοσίων συμβάσεων υπηρεσιών και χρηματοδοτείται εντός των εγκεκριμένων πιστώσεων του Ετήσιου Προγράμματος Εξωστρέφειας και του εκάστοτε εγκεκριμένου προϋπολογισμού του Ε.Κ.Κ.Ο.ΜΕ.Δ.</w:t>
      </w:r>
      <w:br/>
      <w:r>
        <w:rPr>
          <w:sz w:val="22"/>
          <w:szCs w:val="22"/>
        </w:rPr>
        <w:t xml:space="preserve">5. Η οικονομική συνεισφορά του Ε.Κ.Κ.Ο.ΜΕ.Δ. καταβάλλεται τμηματικά ή εφάπαξ, σύμφωνα με τους όρους της οικείας σύμβασης, και συνδέεται με την υλοποίηση του φυσικού αντικειμένου, την επίτευξη των συμφωνημένων παραδοτέων και την πιστοποίηση της εκπλήρωσης των υποχρεώσεων του αντισυμβαλλομένου. Η καταβολή δύναται να πραγματοποιείται προκαταβολικά, ενδιάμεσα ή απολογιστικά, σύμφωνα με τα ειδικότερα οριζόμενα στη σύμβαση.</w:t>
      </w:r>
      <w:br/>
      <w:r>
        <w:rPr>
          <w:sz w:val="22"/>
          <w:szCs w:val="22"/>
        </w:rPr>
        <w:t xml:space="preserve">6. Η σύναψη των συμβάσεων του παρόντος άρθρου εγκρίνεται με ειδικώς αιτιολογημένη απόφαση του Διοικητικού Συμβουλίου του Ε.Κ.Κ.Ο.ΜΕ.Δ., κατόπιν εισήγησης του Διευθύνοντος Συμβούλου. Η απόφαση τεκμηριώνει ιδίως τη συνάφεια του συμβαλλόμενου φορέα με τους σκοπούς της σύμβασης, τη συμβολή του στην επίτευξη των στόχων εξωστρέφειας και πολιτιστικής διπλωματίας, την ένταξη της δράσης στους άξονες του Εθνικού Σχεδίου Δράσης και του Ετήσιου Προγράμματος Εξωστρέφειας, καθώς και την αναγκαιότητα της συνεργασίας για την εξυπηρέτηση του δημόσιου σκοπού της δράσης.</w:t>
      </w:r>
    </w:p>
    <w:p>
      <w:pPr>
        <w:jc w:val="both"/>
      </w:pPr>
      <w:r>
        <w:rPr>
          <w:sz w:val="22"/>
          <w:szCs w:val="22"/>
        </w:rPr>
        <w:t xml:space="preserve">ΚΕΦΑΛΑΙΟ ΣΤ’</w:t>
      </w:r>
      <w:br/>
      <w:r>
        <w:rPr>
          <w:sz w:val="22"/>
          <w:szCs w:val="22"/>
        </w:rPr>
        <w:t xml:space="preserve">ΡΥΘΜΙΣΕΙΣ ΓΙΑ ΤΟ ΝΟΜΙΚΟ ΠΡΟΣΩΠΟ ΙΔΙΩΤΙΚΟΥ ΔΙΚΑΙΟΥ ΜΕ ΤΗΝ ΕΠΩΝΥΜΙΑ «ΕΛΛΗΝΙΚΟ ΚΕΝΤΡΟ ΚΙΝΗΜΑΤΟΓΡΑΦΟΥ, ΟΠΤΙΚΟΑΚΟΥΣΤΙΚΩΝ ΜΕΣΩΝ ΚΑΙ ΔΗΜΙΟΥΡΓΙΑΣ Α.Ε.»</w:t>
      </w:r>
    </w:p>
    <w:p>
      <w:pPr>
        <w:jc w:val="both"/>
      </w:pPr>
      <w:r>
        <w:rPr>
          <w:sz w:val="22"/>
          <w:szCs w:val="22"/>
        </w:rPr>
        <w:t xml:space="preserve">Άρθρο 95</w:t>
      </w:r>
      <w:br/>
      <w:r>
        <w:rPr>
          <w:sz w:val="22"/>
          <w:szCs w:val="22"/>
        </w:rPr>
        <w:t xml:space="preserve">Αποστολή και αρμοδιότητες του νομικού προσώπου ιδιωτικού δικαίου με την επωνυμία «Ελληνικό Κέντρο Κινηματογράφου, Οπτικοακουστικών Μέσων και Δημιουργίας Α.Ε.» – Αντικατάσταση άρθρου 4 ν. 5105/2024</w:t>
      </w:r>
    </w:p>
    <w:p>
      <w:pPr>
        <w:jc w:val="both"/>
      </w:pPr>
      <w:r>
        <w:rPr>
          <w:sz w:val="22"/>
          <w:szCs w:val="22"/>
        </w:rPr>
        <w:t xml:space="preserve">Το άρθρο 4 του ν. 5105/2024 (Α’ 61), περί αποστολής και αρμοδιοτήτων, αντικαθίσταται ως εξής:</w:t>
      </w:r>
      <w:br/>
      <w:r>
        <w:rPr>
          <w:sz w:val="22"/>
          <w:szCs w:val="22"/>
        </w:rPr>
        <w:t xml:space="preserve">«Άρθρο 4</w:t>
      </w:r>
      <w:br/>
      <w:r>
        <w:rPr>
          <w:sz w:val="22"/>
          <w:szCs w:val="22"/>
        </w:rPr>
        <w:t xml:space="preserve">Αποστολή – αρμοδιότητες</w:t>
      </w:r>
    </w:p>
    <w:p>
      <w:pPr>
        <w:jc w:val="both"/>
      </w:pPr>
      <w:r>
        <w:rPr>
          <w:sz w:val="22"/>
          <w:szCs w:val="22"/>
        </w:rPr>
        <w:t xml:space="preserve">1. Αποστολή της Εταιρείας είναι η υλοποίηση της δημόσιας πολιτικής για την ανάπτυξη του κινηματογραφικού και οπτικοακουστικού δημιουργικού τομέα στην Ελλάδα μέσω:</w:t>
      </w:r>
      <w:br/>
      <w:r>
        <w:rPr>
          <w:sz w:val="22"/>
          <w:szCs w:val="22"/>
        </w:rPr>
        <w:t xml:space="preserve">α) του σχεδιασμού και της διαχείρισης χρηματοδοτικών εργαλείων και καθεστώτων, καθώς και προγραμμάτων και δράσεων για την ανάπτυξη, την προστασία και την ενίσχυση της ελληνικής κινηματογραφικής και οπτικοακουστικής παραγωγής, την υποστήριξη της διεθνούς εξωστρέφειας και την προώθηση της ελληνικής κινηματογραφικής και οπτικοακουστικής δημιουργίας, καθώς και την προσέλκυση διεθνών παραγωγών και ξένων επενδύσεων στον τομέα αυτόν,</w:t>
      </w:r>
      <w:br/>
      <w:r>
        <w:rPr>
          <w:sz w:val="22"/>
          <w:szCs w:val="22"/>
        </w:rPr>
        <w:t xml:space="preserve">β) του σχεδιασμού και της υλοποίησης προγραμμάτων και δράσεων για την περιφερειακή πολιτιστική ανάπτυξη και συνοχή, τη βιώσιμη κινηματογραφία, την εκπαίδευση και την κατάρτιση, την κοινωνική συμπερίληψη και την ευαισθητοποίηση στον οπτικοακουστικό δημιουργικό τομέα, καθώς και την προαγωγή της κινηματογραφικής και οπτικοακουστικής παιδείας,</w:t>
      </w:r>
      <w:br/>
      <w:r>
        <w:rPr>
          <w:sz w:val="22"/>
          <w:szCs w:val="22"/>
        </w:rPr>
        <w:t xml:space="preserve">γ) του σχεδιασμού και της υλοποίησης, μέσω του Δημιουργικού Κόμβου Καινοτομίας και Τεχνολογίας για τον Δημιουργικό και Οπτικοακουστικό Τομέα (Creative Hub GR) του άρθρου 43, προγραμμάτων και δράσεων για την έρευνα και τη στήριξη της τεχνολογικής καινοτομίας στον τομέα αυτόν, τη σύνδεση της οπτικοακουστικής τεχνολογίας με όλες τις μορφές τέχνης και την καταπολέμηση της πειρατείας, διαδικτυακής, τεχνολογικής ή άλλης,</w:t>
      </w:r>
      <w:br/>
      <w:r>
        <w:rPr>
          <w:sz w:val="22"/>
          <w:szCs w:val="22"/>
        </w:rPr>
        <w:t xml:space="preserve">δ) της εφαρμογής της εθνικής πολιτικής για την κινηματογραφική και οπτικοακουστική πολιτιστική κληρονομιά και της οργάνωσης και λειτουργίας του Εθνικού Ψηφιακού Αποθετηρίου Οπτικοακουστικών Έργων του άρθρου 42,</w:t>
      </w:r>
      <w:br/>
      <w:r>
        <w:rPr>
          <w:sz w:val="22"/>
          <w:szCs w:val="22"/>
        </w:rPr>
        <w:t xml:space="preserve">ε) της υποστήριξης της Κυβέρνησης στον σχεδιασμό και την παρακολούθηση της πολιτικής για τον κινηματογραφικό και οπτικοακουστικό δημιουργικό τομέα της χώρας και της υποστήριξης της πολιτιστικής διπλωματίας στο πεδίο των αρμοδιοτήτων της.</w:t>
      </w:r>
      <w:br/>
      <w:r>
        <w:rPr>
          <w:sz w:val="22"/>
          <w:szCs w:val="22"/>
        </w:rPr>
        <w:t xml:space="preserve">2. Στο πλαίσιο της ως άνω αποστολής, η Εταιρεία ασκεί τις εξής αρμοδιότητες:</w:t>
      </w:r>
      <w:br/>
      <w:r>
        <w:rPr>
          <w:sz w:val="22"/>
          <w:szCs w:val="22"/>
        </w:rPr>
        <w:t xml:space="preserve">α) σχεδιάζει και υλοποιεί προγράμματα, καθεστώτα και δράσεις επιδοτήσεων, χρηματοδοτήσεων, κρατικών ενισχύσεων και επενδυτικών ή φορολογικών κινήτρων, τα οποία εγκρίνονται από το Διοικητικό Συμβούλιο και τις αρμόδιες αρχές, για την ανάπτυξη, την παραγωγή, την προώθηση και τη διανομή ελληνικών κινηματογραφικών και οπτικοακουστικών έργων κάθε είδους, καθώς και για την προσέλκυση αντίστοιχων διεθνών παραγωγών που επιλέγουν την Ελλάδα ως τόπο για οποιοδήποτε στάδιο υλοποίησής τους,</w:t>
      </w:r>
      <w:br/>
      <w:r>
        <w:rPr>
          <w:sz w:val="22"/>
          <w:szCs w:val="22"/>
        </w:rPr>
        <w:t xml:space="preserve">β) συγκεντρώνει, αναλύει και δημοσιεύει στατιστικά και άλλα δεδομένα στους τομείς δραστηριότητάς της, διενεργεί και χρηματοδοτεί σχετικές έρευνες και μελέτες, υποστηρίζει το Υπουργείο Πολιτισμού και κάθε άλλον αρμόδιο δημόσιο φορέα στον σχεδιασμό δημόσιων πολιτικών στο πεδίο των αρμοδιοτήτων της και συνεργάζεται με κάθε αρμόδιο φορέα για τη βελτίωση του θεσμικού πλαισίου για τον κινηματογραφικό και οπτικοακουστικό δημιουργικό τομέα της χώρας,</w:t>
      </w:r>
      <w:br/>
      <w:r>
        <w:rPr>
          <w:sz w:val="22"/>
          <w:szCs w:val="22"/>
        </w:rPr>
        <w:t xml:space="preserve">γ) παρακολουθεί και αξιολογεί τις εγχώριες, ευρωπαϊκές και διεθνείς εξελίξεις στα ζητήματα αρμοδιότητάς της και εκπροσωπεί ή συμμετέχει στην εκπροσώπηση της Ελλάδας σε όλους τους αρμόδιους διεθνείς οργανισμούς, καθώς και στα όργανα της Ευρωπαϊκής Ένωσης για τα ζητήματα αυτά, όπως ορίζεται από το Υπουργείο Πολιτισμού,</w:t>
      </w:r>
      <w:br/>
      <w:r>
        <w:rPr>
          <w:sz w:val="22"/>
          <w:szCs w:val="22"/>
        </w:rPr>
        <w:t xml:space="preserve">δ) ορίζει τον εθνικό εκπρόσωπο στο Ευρωπαϊκό Ταμείο Ενίσχυσης των Κινηματογραφικών και Οπτικοακουστικών Συμπαραγωγών του Συμβουλίου της Ευρώπης (EURIMAGES),</w:t>
      </w:r>
      <w:br/>
      <w:r>
        <w:rPr>
          <w:sz w:val="22"/>
          <w:szCs w:val="22"/>
        </w:rPr>
        <w:t xml:space="preserve">ε) συνεργάζεται με την Ευρωπαϊκή Επιτροπή για τη λειτουργία του γραφείου προώθησης του προγράμματος Δημιουργική Ευρώπη (CREATIVE EUROPE) και για τη λειτουργία του γραφείου προώθησης του σκέλους MEDIA του Κανονισμού (ΕΕ) 2021/818 του Ευρωπαϊκού Κοινοβουλίου και του Συμβουλίου, της 20ής Μαΐου 2021, για τη θέσπιση του προγράμματος «Δημιουργική Ευρώπη» (2021-2027) και την κατάργηση του κανονισμού (ΕΕ) 1295/2013 (L 189),</w:t>
      </w:r>
      <w:br/>
      <w:r>
        <w:rPr>
          <w:sz w:val="22"/>
          <w:szCs w:val="22"/>
        </w:rPr>
        <w:t xml:space="preserve">στ) σχεδιάζει και υλοποιεί δράσεις εκπαίδευσης, επαγγελματικής κατάρτισης και ανάπτυξης δεξιοτήτων για την κινηματογραφική και οπτικοακουστική δημιουργική οικονομία και οργανώνει σεμινάρια, καθώς και ερευνητικά και εκπαιδευτικά προγράμματα στο πλαίσιο της εξοικείωσης με όλα τα μέσα επικοινωνίας και τον οπτικό πολιτισμό, καθώς και του γραμματισμού στα Μέσα Επικοινωνίας,</w:t>
      </w:r>
      <w:br/>
      <w:r>
        <w:rPr>
          <w:sz w:val="22"/>
          <w:szCs w:val="22"/>
        </w:rPr>
        <w:t xml:space="preserve">ζ) συνεργάζεται με εκπαιδευτικά ιδρύματα στην Ελλάδα και το εξωτερικό για την υποστήριξη των σπουδών στον τομέα αυτόν και απονέμει υποτροφίες για σπουδές στην Ελλάδα και το εξωτερικό σε νέους παραγωγούς, σκηνοθέτες, σεναριογράφους, καλλιτέχνες ερμηνευτές, καλλιτεχνικούς συντελεστές και τεχνικούς,</w:t>
      </w:r>
      <w:br/>
      <w:r>
        <w:rPr>
          <w:sz w:val="22"/>
          <w:szCs w:val="22"/>
        </w:rPr>
        <w:t xml:space="preserve">η) προωθεί τον ελληνικό κινηματογραφικό και οπτικοακουστικό δημιουργικό τομέα στην Ελλάδα και διεθνώς, διοργανώνει και υποστηρίζει εγχώριες εκδηλώσεις ή φεστιβάλ για τον κινηματογραφικό και οπτικοακουστικό δημιουργικό τομέα της χώρας, μεριμνά για την προβολή της Ελλάδας ως κατάλληλου τόπου για την πραγματοποίηση πάσης φύσεως οπτικοακουστικών παραγωγών και συμβάλλει στην άσκηση αποτελεσματικής πολιτιστικής διπλωματίας της χώρας στο πλαίσιο της αποστολής και των αρμοδιοτήτων της,</w:t>
      </w:r>
      <w:br/>
      <w:r>
        <w:rPr>
          <w:sz w:val="22"/>
          <w:szCs w:val="22"/>
        </w:rPr>
        <w:t xml:space="preserve">θ) οργανώνει και λειτουργεί τον Δημιουργικό Κόμβο Καινοτομίας και Τεχνολογίας για τον Δημιουργικό και Οπτικοακουστικό Τομέα (Creative Hub GR) του άρθρου 43, καθώς και άλλες δομές και προγράμματα για την υποστήριξη, τη δικτύωση και την εξωστρέφεια των τομέων αυτών και διαμορφώνει προγράμματα και δράσεις για την ενσωμάτωση νέων τεχνολογιών και καινοτομιών στην κινηματογραφική και οπτικοακουστική δημιουργική βιομηχανία και για την έρευνα στους τομείς αυτούς,</w:t>
      </w:r>
      <w:br/>
      <w:r>
        <w:rPr>
          <w:sz w:val="22"/>
          <w:szCs w:val="22"/>
        </w:rPr>
        <w:t xml:space="preserve">ι) σχεδιάζει, διαχειρίζεται και υλοποιεί ως δικαιούχος έργα και αναλαμβάνει ή συμμετέχει σε προγράμματα τα οποία χρηματοδοτούνται από την Ευρωπαϊκή Ένωση και διεθνείς ή εθνικούς οργανισμούς ή φορείς ή νομικά πρόσωπα ή από ίδιους πόρους, στους τομείς αρμοδιότητάς της,</w:t>
      </w:r>
      <w:br/>
      <w:r>
        <w:rPr>
          <w:sz w:val="22"/>
          <w:szCs w:val="22"/>
        </w:rPr>
        <w:t xml:space="preserve">ια) εφαρμόζει την εθνική πολιτική για την κινηματογραφική και οπτικοακουστική κληρονομιά της χώρας, μεριμνά για τη διάσωση έργων και συλλογών οπτικοακουστικού περιεχομένου, είτε αυτεπαγγέλτως, εφόσον το οπτικοακουστικό υλικό φυλάσσεται σε ακατάλληλες συνθήκες με κίνδυνο καταστροφής, είτε παραλαμβάνοντας οπτικοακουστικό υλικό με αξία για την εθνική πολιτιστική οπτικοακουστική μνήμη, εφόσον κληθεί προς τούτο από φορείς του δημόσιου τομέα ή από ιδιώτες κατόχους ή νομείς ή κληρονόμους, μεριμνά για την καταλληλότερη φύλαξη των φυσικών και ψηφιακών οπτικοακουστικών αρχείων με σύγχρονα τεχνολογικά μέσα, οργανώνει και λειτουργεί το Εθνικό Ψηφιακό Αποθετήριο Οπτικοακουστικών Έργων του άρθρου 42 και μεριμνά για την ψηφιοποίηση αναλογικού οπτικοακουστικού υλικού σε αυτό, προβαίνει στην παρουσίαση στο κοινό των αρχείων της Εταιρείας για πολιτιστικούς ή εκπαιδευτικούς σκοπούς και για την πραγματοποίηση εκδηλώσεων και αφιερωμάτων,</w:t>
      </w:r>
      <w:br/>
      <w:r>
        <w:rPr>
          <w:sz w:val="22"/>
          <w:szCs w:val="22"/>
        </w:rPr>
        <w:t xml:space="preserve">ιβ) συντονίζει το δίκτυο των Γραφείων Διευκόλυνσης Οπτικοακουστικών Παραγωγών του άρθρου 45 σε περιφερειακό επίπεδο και οργανώνει δράσεις και προγράμματα για την περιφερειακή ανάπτυξη και συνοχή στους τομείς αρμοδιότητάς της, ιδίως σχετικά με τη βιώσιμη κινηματογραφία και την ανάπτυξη οπτικοακουστικών υποδομών,</w:t>
      </w:r>
      <w:br/>
      <w:r>
        <w:rPr>
          <w:sz w:val="22"/>
          <w:szCs w:val="22"/>
        </w:rPr>
        <w:t xml:space="preserve">ιγ) συμμετέχει σε νομικά πρόσωπα με παρεμφερείς σκοπούς, συνάπτει προγραμματικές ή άλλες συμβάσεις, διμερείς ή πολυμερείς, με δημόσιους ή ιδιωτικούς φορείς της Ελλάδας και του εξωτερικού για την εκπλήρωση της αποστολής της,</w:t>
      </w:r>
      <w:br/>
      <w:r>
        <w:rPr>
          <w:sz w:val="22"/>
          <w:szCs w:val="22"/>
        </w:rPr>
        <w:t xml:space="preserve">ιδ) συνάπτει προγραμματικές συμβάσεις του άρθρου 100 του ν. 3852/2010 (Α΄ 87), ειδικές προγραμματικές πολιτιστικές συμβάσεις εξωστρέφειας και πολιτιστικής διπλωματίας του Ο.Δ.Τ. και μνημόνια συνεργασίας για την επίτευξη των σκοπών της,</w:t>
      </w:r>
      <w:br/>
      <w:r>
        <w:rPr>
          <w:sz w:val="22"/>
          <w:szCs w:val="22"/>
        </w:rPr>
        <w:t xml:space="preserve">ιε) συμβάλλει στην πολιτική για την καταπολέμηση της πειρατείας, διαδικτυακής, τεχνολογικής ή άλλης, στα οπτικοακουστικά μέσα με δράσεις και παρεμβάσεις τεχνολογικής ή μη φύσεως και εισηγείται στα αρμόδια όργανα του Υπουργείου Πολιτισμού,</w:t>
      </w:r>
      <w:br/>
      <w:r>
        <w:rPr>
          <w:sz w:val="22"/>
          <w:szCs w:val="22"/>
        </w:rPr>
        <w:t xml:space="preserve">ιστ) αποκτά με επαχθή ή χαριστική αιτία, χρησιμοποιεί ή διαχειρίζεται χώρους και κτίρια για την επίτευξη των σκοπών της,</w:t>
      </w:r>
      <w:br/>
      <w:r>
        <w:rPr>
          <w:sz w:val="22"/>
          <w:szCs w:val="22"/>
        </w:rPr>
        <w:t xml:space="preserve">ιζ) εκδίδει κάθε πιστοποιητικό ή βεβαίωση που προβλέπεται από τον νόμο ότι εκδίδεται από αυτήν, ιδίως Πιστοποιητικό Ελληνικής Ιθαγένειας και βεβαίωση συντελεστή ενίσχυσης κινηματογραφικού έργου,</w:t>
      </w:r>
      <w:br/>
      <w:r>
        <w:rPr>
          <w:sz w:val="22"/>
          <w:szCs w:val="22"/>
        </w:rPr>
        <w:t xml:space="preserve">ιη) ασκεί οποιαδήποτε άλλη αρμοδιότητα που της ανατίθεται με νόμο ή άλλη κανονιστική πράξη.</w:t>
      </w:r>
      <w:br/>
      <w:r>
        <w:rPr>
          <w:sz w:val="22"/>
          <w:szCs w:val="22"/>
        </w:rPr>
        <w:t xml:space="preserve">3. Η Εταιρεία δύναται να ορίζεται ως τελικός δικαιούχος ή συνδικαιούχος συγχρηματοδοτούμενων έργων ή προγραμμάτων των Επιχειρησιακών Προγραμμάτων του ΕΣΠΑ 2021-2027 και δύναται να είναι Ενδιάμεσος Φορέας Διαχείρισης Προγραμμάτων του ΕΣΠΑ 2021-2027, σύμφωνα με το άρθρο 13 του ν. 4914/2022 (Α΄ 61). Η Εταιρεία είναι τεχνολογικός φορέας κατά την έννοια του άρθρου 13Α του ν. 4310/2014 (Α΄ 258).».</w:t>
      </w:r>
    </w:p>
    <w:p>
      <w:pPr>
        <w:jc w:val="both"/>
      </w:pPr>
      <w:r>
        <w:rPr>
          <w:sz w:val="22"/>
          <w:szCs w:val="22"/>
        </w:rPr>
        <w:t xml:space="preserve">Άρθρο 96</w:t>
      </w:r>
      <w:br/>
      <w:r>
        <w:rPr>
          <w:sz w:val="22"/>
          <w:szCs w:val="22"/>
        </w:rPr>
        <w:t xml:space="preserve">Ορισμός Προέδρου και Διευθύνοντος Συμβούλου του νομικού προσώπου ιδιωτικού δικαίου με την επωνυμία «Ελληνικό Κέντρο Κινηματογράφου, Οπτικοακουστικών Μέσων και Δημιουργίας Α.Ε.» – Αντικατάσταση παρ. 2 άρθρου 6 ν. 5105/2024</w:t>
      </w:r>
    </w:p>
    <w:p>
      <w:pPr>
        <w:jc w:val="both"/>
      </w:pPr>
      <w:r>
        <w:rPr>
          <w:sz w:val="22"/>
          <w:szCs w:val="22"/>
        </w:rPr>
        <w:t xml:space="preserve">Η παρ. 2 του άρθρου 6 του ν. 5105/2024 (Α’ 61), περί ορισμού, σύνθεσης και θητείας του Διοικητικού Συμβουλίου, αντικαθίσταται ως εξής:</w:t>
      </w:r>
      <w:br/>
      <w:r>
        <w:rPr>
          <w:sz w:val="22"/>
          <w:szCs w:val="22"/>
        </w:rPr>
        <w:t xml:space="preserve">«2. Ο Πρόεδρος και ο Διευθύνων Σύμβουλος της Εταιρείας εκλέγονται με απόφαση της Γενικής Συνέλευσης της Εταιρείας, σύμφωνα με το άρθρο 16 του ν. 5271/2026 (Α’ 11), περί διαδικασίας επιλογής οργάνων διοίκησης νομικών προσώπων δημοσίου και ιδιωτικού δικαίου που εποπτεύονται από τον Υπουργό Πολιτισμού.».</w:t>
      </w:r>
    </w:p>
    <w:p>
      <w:pPr>
        <w:jc w:val="both"/>
      </w:pPr>
      <w:r>
        <w:rPr>
          <w:sz w:val="22"/>
          <w:szCs w:val="22"/>
        </w:rPr>
        <w:t xml:space="preserve">Άρθρο 97</w:t>
      </w:r>
      <w:br/>
      <w:r>
        <w:rPr>
          <w:sz w:val="22"/>
          <w:szCs w:val="22"/>
        </w:rPr>
        <w:t xml:space="preserve">Λειτουργία του Διοικητικού Συμβουλίου του νομικού προσώπου ιδιωτικού δικαίου με την επωνυμία «Ελληνικό Κέντρο Κινηματογράφου, Οπτικοακουστικών Μέσων και Δημιουργίας Α.Ε.» – Αντικατάσταση παρ. 7 άρθρου 9 ν. 5105/2024</w:t>
      </w:r>
    </w:p>
    <w:p>
      <w:pPr>
        <w:jc w:val="both"/>
      </w:pPr>
      <w:r>
        <w:rPr>
          <w:sz w:val="22"/>
          <w:szCs w:val="22"/>
        </w:rPr>
        <w:t xml:space="preserve">Η παρ. 7 του άρθρου 9 του ν. 5105/2024 (Α’ 61), περί λειτουργίας του Διοικητικού Συμβουλίου, αντικαθίσταται ως εξής:</w:t>
      </w:r>
      <w:br/>
      <w:r>
        <w:rPr>
          <w:sz w:val="22"/>
          <w:szCs w:val="22"/>
        </w:rPr>
        <w:t xml:space="preserve">«7. Για κάθε άλλο ζήτημα σχετικό με τις συνεδριάσεις του Δ.Σ. και τη λήψη των αποφάσεών του εφαρμόζεται ο ν. 4548/2018 (Α’ 104).».</w:t>
      </w:r>
    </w:p>
    <w:p>
      <w:pPr>
        <w:jc w:val="both"/>
      </w:pPr>
      <w:r>
        <w:rPr>
          <w:sz w:val="22"/>
          <w:szCs w:val="22"/>
        </w:rPr>
        <w:t xml:space="preserve">Άρθρο 98</w:t>
      </w:r>
      <w:br/>
      <w:r>
        <w:rPr>
          <w:sz w:val="22"/>
          <w:szCs w:val="22"/>
        </w:rPr>
        <w:t xml:space="preserve">Διοικητική διάρθρωση του νομικού προσώπου ιδιωτικού δικαίου με την επωνυμία «Ελληνικό Κέντρο Κινηματογράφου, Οπτικοακουστικών Μέσων και Δημιουργίας Α.Ε.» – Τροποποίηση άρθρου 16 ν. 5105/2024</w:t>
      </w:r>
    </w:p>
    <w:p>
      <w:pPr>
        <w:jc w:val="both"/>
      </w:pPr>
      <w:r>
        <w:rPr>
          <w:sz w:val="22"/>
          <w:szCs w:val="22"/>
        </w:rPr>
        <w:t xml:space="preserve">Στο άρθρο 16 του ν. 5105/2024 (Α’ 61), περί διοικητικής διάρθρωσης, επέρχονται οι ακόλουθες τροποποιήσεις: α) οι παρ. 2 και 3 αντικαθίστανται, β) προστίθενται παρ. 4 και 5, και το άρθρο 16 διαμορφώνεται ως εξής:</w:t>
      </w:r>
    </w:p>
    <w:p>
      <w:pPr>
        <w:jc w:val="both"/>
      </w:pPr>
      <w:r>
        <w:rPr>
          <w:sz w:val="22"/>
          <w:szCs w:val="22"/>
        </w:rPr>
        <w:t xml:space="preserve">«Άρθρο 16</w:t>
      </w:r>
      <w:br/>
      <w:r>
        <w:rPr>
          <w:sz w:val="22"/>
          <w:szCs w:val="22"/>
        </w:rPr>
        <w:t xml:space="preserve">Διοικητική διάρθρωση</w:t>
      </w:r>
    </w:p>
    <w:p>
      <w:pPr>
        <w:jc w:val="both"/>
      </w:pPr>
      <w:r>
        <w:rPr>
          <w:sz w:val="22"/>
          <w:szCs w:val="22"/>
        </w:rPr>
        <w:t xml:space="preserve">1. Η Εταιρεία διαρθρώνεται: α) σε Γενικές Διευθύνσεις και β) σε υπηρεσίες που υπάγονται απευθείας στον Διευθύνοντα Σύμβουλο της Εταιρείας.</w:t>
      </w:r>
      <w:br/>
      <w:r>
        <w:rPr>
          <w:sz w:val="22"/>
          <w:szCs w:val="22"/>
        </w:rPr>
        <w:t xml:space="preserve">2. Οι Γενικές Διευθύνσεις της Εταιρείας είναι οι εξής:</w:t>
      </w:r>
      <w:br/>
      <w:r>
        <w:rPr>
          <w:sz w:val="22"/>
          <w:szCs w:val="22"/>
        </w:rPr>
        <w:t xml:space="preserve">α) Γενική Διεύθυνση Ελληνικού Κινηματογράφου, με στρατηγικό στόχο την ενίσχυση της ανάπτυξης, παραγωγής, προώθησης και διανομής της κινηματογραφικής τέχνης στην Ελλάδα, την προστασία της κινηματογραφικής κληρονομιάς και τη μέριμνα για την εκπαίδευση, κατάρτιση και κοινωνική διάσταση της κινηματογραφικής παραγωγής, με ιδιαίτερη μέριμνα για τους νέους Έλληνες δημιουργούς,</w:t>
      </w:r>
      <w:br/>
      <w:r>
        <w:rPr>
          <w:sz w:val="22"/>
          <w:szCs w:val="22"/>
        </w:rPr>
        <w:t xml:space="preserve">β) Γενική Διεύθυνση Επενδύσεων και Καινοτομίας Οπτικοακουστικού και Δημιουργικού Τομέα, με στρατηγικό στόχο την υποστήριξη του οπτικοακουστικού και δημιουργικού τομέα, την ανάπτυξη και προσέλκυση ξένων επενδύσεων στους τομείς αυτούς και την ενσωμάτωση νέων τεχνολογιών και καινοτόμων μεθόδων στην οπτικοακουστική βιομηχανία, και</w:t>
      </w:r>
      <w:br/>
      <w:r>
        <w:rPr>
          <w:sz w:val="22"/>
          <w:szCs w:val="22"/>
        </w:rPr>
        <w:t xml:space="preserve">γ) Γενική Διεύθυνση Οικονομικής και Διοικητικής Υποστήριξης, με στρατηγικό στόχο την εύρυθμη λειτουργία της Εταιρείας ως προς τις οριζόντιες υποστηρικτικές λειτουργίες της.</w:t>
      </w:r>
      <w:br/>
      <w:r>
        <w:rPr>
          <w:sz w:val="22"/>
          <w:szCs w:val="22"/>
        </w:rPr>
        <w:t xml:space="preserve">3. Στον Διευθύνοντα Σύμβουλο της Εταιρείας υπάγεται απευθείας η Μονάδα Στρατηγικής και Διοίκησης Εταιρικών Θεμάτων, επιπέδου Διεύθυνσης, η οποία είναι αρμόδια για:</w:t>
      </w:r>
      <w:br/>
      <w:r>
        <w:rPr>
          <w:sz w:val="22"/>
          <w:szCs w:val="22"/>
        </w:rPr>
        <w:t xml:space="preserve">α) τη σύνταξη και την παρακολούθηση της υλοποίησης της ετήσιας και μεσοπρόθεσμης στρατηγικής της Εταιρείας (Σχέδιο Δράσης) καθώς και όλων των στρατηγικών κειμένων που προβλέπονται στον ν. 4972/2022 (Α’ 181),</w:t>
      </w:r>
      <w:br/>
      <w:r>
        <w:rPr>
          <w:sz w:val="22"/>
          <w:szCs w:val="22"/>
        </w:rPr>
        <w:t xml:space="preserve">β) την υποστήριξη της οργάνωσης και της λειτουργίας του Διοικητικού Συμβουλίου (Δ.Σ.) της Εταιρείας και την υποβοήθηση των μελών του για την άσκηση των καθηκόντων τους και τη λήψη των απαραίτητων αποφάσεων,</w:t>
      </w:r>
      <w:br/>
      <w:r>
        <w:rPr>
          <w:sz w:val="22"/>
          <w:szCs w:val="22"/>
        </w:rPr>
        <w:t xml:space="preserve">γ) τη λειτουργία του Παρατηρητηρίου του Οπτικοακουστικού και Δημιουργικού Τομέα και τη διακυβέρνηση στατιστικών και δεδομένων που αφορούν στον οπτικοακουστικό και δημιουργικό τομέα,</w:t>
      </w:r>
      <w:br/>
      <w:r>
        <w:rPr>
          <w:sz w:val="22"/>
          <w:szCs w:val="22"/>
        </w:rPr>
        <w:t xml:space="preserve">δ) τη διαχείριση και την υποβολή εισηγήσεων προς το Δ.Σ. της Εταιρείας για κάθε θέμα που αφορά στην αποδοχή δωρεών, εισφορών και χορηγιών της περ. δ) της παρ. 2 του άρθρου 8, καθώς και στις εμπορικές και χορηγικές δραστηριότητες της Εταιρείας,</w:t>
      </w:r>
      <w:br/>
      <w:r>
        <w:rPr>
          <w:sz w:val="22"/>
          <w:szCs w:val="22"/>
        </w:rPr>
        <w:t xml:space="preserve">ε) τη διαχείριση των διεθνών και ευρωπαϊκών σχέσεων της Εταιρείας,</w:t>
      </w:r>
      <w:br/>
      <w:r>
        <w:rPr>
          <w:sz w:val="22"/>
          <w:szCs w:val="22"/>
        </w:rPr>
        <w:t xml:space="preserve">στ) την υπόδειξη εκπροσώπων της Εταιρείας σε συλλογικά όργανα άλλων φορέων,</w:t>
      </w:r>
      <w:br/>
      <w:r>
        <w:rPr>
          <w:sz w:val="22"/>
          <w:szCs w:val="22"/>
        </w:rPr>
        <w:t xml:space="preserve">4. Στον Διευθύνοντα Σύμβουλο της Εταιρείας υπάγονται επίσης οι εξής αδιαβάθμητες μονάδες:</w:t>
      </w:r>
      <w:br/>
      <w:r>
        <w:rPr>
          <w:sz w:val="22"/>
          <w:szCs w:val="22"/>
        </w:rPr>
        <w:t xml:space="preserve">α) Γραφείο Εσωτερικού Ελέγχου και Διαχείρισης Κινδύνων, που οργανώνεται και λειτουργεί σύμφωνα με τον ν. 4795/2021 (Α’ 62) και τα άρθρα 16 και 17 του ν. 4972/2022, και</w:t>
      </w:r>
      <w:br/>
      <w:r>
        <w:rPr>
          <w:sz w:val="22"/>
          <w:szCs w:val="22"/>
        </w:rPr>
        <w:t xml:space="preserve">β) Γραφείο Επικοινωνίας και Ενημέρωσης, το οποίο είναι αρμόδιο για την επικοινωνιακή στρατηγική της Εταιρείας, την προβολή των δραστηριοτήτων και του έργου της στην Ελλάδα και το εξωτερικό και την πληροφόρηση των μέσων μαζικής ενημέρωσης σχετικά με τις δραστηριότητές της.</w:t>
      </w:r>
      <w:br/>
      <w:r>
        <w:rPr>
          <w:sz w:val="22"/>
          <w:szCs w:val="22"/>
        </w:rPr>
        <w:t xml:space="preserve">γ) Γραφείο Νομικού Συντονισμού, το οποίο είναι αρμόδιο για τον συντονισμό των μονάδων της Εταιρείας σχετικά με την κανονιστική διαδικασία, την ανταπόκριση σε θέματα κοινοβουλευτικού ελέγχου, τη νομική υποστήριξη του Δ.Σ. της Εταιρείας, τον χειρισμό δικαστικών υποθέσεων της Εταιρείας και την παροχή νομικών συμβουλών και γνωμοδοτήσεων για κάθε θέμα αρμοδιότητας της Εταιρείας.</w:t>
      </w:r>
    </w:p>
    <w:p>
      <w:pPr>
        <w:jc w:val="both"/>
      </w:pPr>
      <w:r>
        <w:rPr>
          <w:sz w:val="22"/>
          <w:szCs w:val="22"/>
        </w:rPr>
        <w:t xml:space="preserve">5. Δύνανται να υπάγονται απευθείας στον Διευθύνοντα Σύμβουλο και άλλες υπηρεσίες, των οποίων οι αρμοδιότητες, η διάρθρωση, το επίπεδο και ο τρόπος λειτουργίας ρυθμίζονται στον Κανονισμό Λειτουργίας του άρθρου 21.</w:t>
      </w:r>
    </w:p>
    <w:p>
      <w:pPr>
        <w:jc w:val="both"/>
      </w:pPr>
      <w:r>
        <w:rPr>
          <w:sz w:val="22"/>
          <w:szCs w:val="22"/>
        </w:rPr>
        <w:t xml:space="preserve">6. Οι στόχοι και οι αρμοδιότητες των οργανικών μονάδων κάθε επιπέδου της Εταιρείας ρυθμίζονται με τον Κανονισμό Λειτουργίας του άρθρου 21.».</w:t>
      </w:r>
    </w:p>
    <w:p>
      <w:pPr>
        <w:jc w:val="both"/>
      </w:pPr>
      <w:r>
        <w:rPr>
          <w:sz w:val="22"/>
          <w:szCs w:val="22"/>
        </w:rPr>
        <w:t xml:space="preserve">Άρθρο 99</w:t>
      </w:r>
      <w:br/>
      <w:r>
        <w:rPr>
          <w:sz w:val="22"/>
          <w:szCs w:val="22"/>
        </w:rPr>
        <w:t xml:space="preserve">Θέσεις προσωπικού του νομικού προσώπου ιδιωτικού δικαίου με την επωνυμία «Ελληνικό Κέντρο Κινηματογράφου, Οπτικοακουστικών Μέσων και Δημιουργίας Α.Ε.» – Αντικατάσταση άρθρου 17 ν. 5105/2024</w:t>
      </w:r>
    </w:p>
    <w:p>
      <w:pPr>
        <w:jc w:val="both"/>
      </w:pPr>
      <w:r>
        <w:rPr>
          <w:sz w:val="22"/>
          <w:szCs w:val="22"/>
        </w:rPr>
        <w:t xml:space="preserve">Το άρθρο 17 του ν. 5105/2024 (Α’ 61), περί της σύστασης θέσεων στο νομικό πρόσωπο ιδιωτικού δικαίου με την επωνυμία «Ελληνικό Κέντρο Κινηματογράφου, Οπτικοακουστικών Μέσων και Δημιουργίας Α.Ε.», αντικαθίσταται ως εξής:</w:t>
      </w:r>
    </w:p>
    <w:p>
      <w:pPr>
        <w:jc w:val="both"/>
      </w:pPr>
      <w:r>
        <w:rPr>
          <w:sz w:val="22"/>
          <w:szCs w:val="22"/>
        </w:rPr>
        <w:t xml:space="preserve">«Άρθρο 17</w:t>
      </w:r>
      <w:br/>
      <w:r>
        <w:rPr>
          <w:sz w:val="22"/>
          <w:szCs w:val="22"/>
        </w:rPr>
        <w:t xml:space="preserve">Σύσταση και κάλυψη θέσεων</w:t>
      </w:r>
      <w:br/>
      <w:r>
        <w:rPr>
          <w:sz w:val="22"/>
          <w:szCs w:val="22"/>
        </w:rPr>
        <w:t xml:space="preserve">1. Στην Εταιρεία συστήνονται εκατό (100) θέσεις προσωπικού, όπως αυτές εμφαίνονται στον παρακάτω πίνακα:</w:t>
      </w:r>
      <w:br/>
      <w:r>
        <w:rPr>
          <w:sz w:val="22"/>
          <w:szCs w:val="22"/>
        </w:rPr>
        <w:t xml:space="preserve">Α Θέσεις Ιδιωτικού Δικαίου Αορίστου Χρόνου 75</w:t>
      </w:r>
      <w:br/>
      <w:r>
        <w:rPr>
          <w:sz w:val="22"/>
          <w:szCs w:val="22"/>
        </w:rPr>
        <w:t xml:space="preserve">Β Ειδικές θέσεις Γενικών Διευθυντών και Προϊσταμένων Διευθύνσεων 13</w:t>
      </w:r>
      <w:br/>
      <w:r>
        <w:rPr>
          <w:sz w:val="22"/>
          <w:szCs w:val="22"/>
        </w:rPr>
        <w:t xml:space="preserve">Γ Θέσεις Νομικών Συμβούλων και Δικηγόρων με έμμισθη εντολή 8</w:t>
      </w:r>
      <w:br/>
      <w:r>
        <w:rPr>
          <w:sz w:val="22"/>
          <w:szCs w:val="22"/>
        </w:rPr>
        <w:t xml:space="preserve">Δ Θέσεις Δημοσιογράφων 4</w:t>
      </w:r>
      <w:br/>
      <w:r>
        <w:rPr>
          <w:sz w:val="22"/>
          <w:szCs w:val="22"/>
        </w:rPr>
        <w:t xml:space="preserve">ΣΥΝΟΛΟ 100</w:t>
      </w:r>
    </w:p>
    <w:p>
      <w:pPr>
        <w:jc w:val="both"/>
      </w:pPr>
      <w:r>
        <w:rPr>
          <w:sz w:val="22"/>
          <w:szCs w:val="22"/>
        </w:rPr>
        <w:t xml:space="preserve">2. Ως προς τις θέσεις του πίνακα της παρ. 1 ισχύουν τα εξής:</w:t>
      </w:r>
      <w:br/>
      <w:r>
        <w:rPr>
          <w:sz w:val="22"/>
          <w:szCs w:val="22"/>
        </w:rPr>
        <w:t xml:space="preserve">α) Οι θέσεις ιδιωτικού δικαίου αορίστου χρόνου δύνανται να καλύπτονται με προσλήψεις, μετατάξεις ή αποσπάσεις προσωπικού με σχέση εργασίας ιδιωτικού δικαίου αορίστου χρόνου ή με αποσπάσεις μόνιμου προσωπικού που υπηρετεί σε φορείς της Γενικής Κυβέρνησης, όπως αυτή ορίζεται στην περ. β) της παρ. 1 του άρθρου 14 του ν. 4270/2014 (Α’ 143), σύμφωνα με τον ν. 4440/2016 (Α’ 224). Οι θέσεις του πρώτου εδαφίου κατανέμονται κατά εκπαιδευτική κατηγορία, κλάδο και ειδικότητα με τον Κανονισμό Λειτουργίας του άρθρου 21 του παρόντος, σύμφωνα με το π.δ. 85/2022 (Α’ 232).</w:t>
      </w:r>
      <w:br/>
      <w:r>
        <w:rPr>
          <w:sz w:val="22"/>
          <w:szCs w:val="22"/>
        </w:rPr>
        <w:t xml:space="preserve">β) Οι θέσεις ιδιωτικού δικαίου ορισμένου χρόνου δύνανται να καλύπτονται, μετά από δημόσια προκήρυξη της Εταιρείας, με τριετείς συμβάσεις εργασίας ιδιωτικού δικαίου, οι οποίες εγκρίνονται με απόφαση του Διοικητικού Συμβουλίου (Δ.Σ.) της Εταιρείας, μετά από εισήγηση του Διευθύνοντος Συμβούλου.</w:t>
      </w:r>
      <w:br/>
      <w:r>
        <w:rPr>
          <w:sz w:val="22"/>
          <w:szCs w:val="22"/>
        </w:rPr>
        <w:t xml:space="preserve">γ) Οι ειδικές θέσεις Γενικών Διευθυντών και Προϊσταμένων Διευθύνσεων καλύπτονται σύμφωνα με το άρθρο 19.</w:t>
      </w:r>
      <w:br/>
      <w:r>
        <w:rPr>
          <w:sz w:val="22"/>
          <w:szCs w:val="22"/>
        </w:rPr>
        <w:t xml:space="preserve">δ) Οι θέσεις νομικών συμβούλων και δικηγόρων με έμμισθη εντολή καλύπτονται σύμφωνα με τα άρθρα 42 έως 46 του Κώδικα Δικηγόρων (ν. 4194/2013, Α’ 208).</w:t>
      </w:r>
      <w:br/>
      <w:r>
        <w:rPr>
          <w:sz w:val="22"/>
          <w:szCs w:val="22"/>
        </w:rPr>
        <w:t xml:space="preserve">ε) Οι θέσεις δημοσιογράφων καλύπτονται με απόφαση του Δ.Σ., μετά από εισήγηση του Διευθύνοντος Συμβούλου, από δημοσιογράφους που είτε είναι μέλη αναγνωρισμένης στην Ελλάδα επαγγελματικής δημοσιογραφικής οργάνωσης είτε έχουν προϋπηρεσία τουλάχιστον δύο (2) ετών σε ημερήσια πολιτική ή οικονομική εφημερίδα, σε περιοδικό ευρείας κυκλοφορίας, στη ραδιοφωνία, στην τηλεόραση, στο διαδίκτυο ή σε ιδιαίτερο γραφείο των άρθρων 45 έως 47 του ν. 4622/2019 (Α’ 133). Η προϋπηρεσία αποδεικνύεται από την ασφάλιση στον οικείο ασφαλιστικό φορέα με την ιδιότητα του δημοσιογράφου.</w:t>
      </w:r>
      <w:br/>
      <w:r>
        <w:rPr>
          <w:sz w:val="22"/>
          <w:szCs w:val="22"/>
        </w:rPr>
        <w:t xml:space="preserve">3. Η θέση που προβλέφθηκε με την παρ. 3 του άρθρου 21 του ν. 4704/2020 (Α’ 133) καταργείται.</w:t>
      </w:r>
      <w:br/>
      <w:r>
        <w:rPr>
          <w:sz w:val="22"/>
          <w:szCs w:val="22"/>
        </w:rPr>
        <w:t xml:space="preserve">4. Για την πλήρωση των θέσεων του παρόντος άρθρου, πλην των ειδικών θέσεων Γενικών Διευθυντών και Προϊσταμένων Διευθύνσεων, εφαρμόζεται το άρθρο 51 του ν. 4622/2019, περί ετήσιου προγραμματισμού προσλήψεων.».</w:t>
      </w:r>
    </w:p>
    <w:p>
      <w:pPr>
        <w:jc w:val="both"/>
      </w:pPr>
      <w:r>
        <w:rPr>
          <w:sz w:val="22"/>
          <w:szCs w:val="22"/>
        </w:rPr>
        <w:t xml:space="preserve">Άρθρο 100</w:t>
      </w:r>
      <w:br/>
      <w:r>
        <w:rPr>
          <w:sz w:val="22"/>
          <w:szCs w:val="22"/>
        </w:rPr>
        <w:t xml:space="preserve">Συμβάσεις μίσθωσης έργου του νομικού προσώπου ιδιωτικού δικαίου με την επωνυμία «Ελληνικό Κέντρο Κινηματογράφου, Οπτικοακουστικών Μέσων και Δημιουργίας Α.Ε.» – Αντικατάσταση άρθρου 18 ν. 5105/2024</w:t>
      </w:r>
    </w:p>
    <w:p>
      <w:pPr>
        <w:jc w:val="both"/>
      </w:pPr>
      <w:r>
        <w:rPr>
          <w:sz w:val="22"/>
          <w:szCs w:val="22"/>
        </w:rPr>
        <w:t xml:space="preserve">Το άρθρο 18 του ν. 5105/2024 (Α’ 61), περί στελέχωσης, αντικαθίσταται ως εξής:</w:t>
      </w:r>
    </w:p>
    <w:p>
      <w:pPr>
        <w:jc w:val="both"/>
      </w:pPr>
      <w:r>
        <w:rPr>
          <w:sz w:val="22"/>
          <w:szCs w:val="22"/>
        </w:rPr>
        <w:t xml:space="preserve">«Άρθρο 18</w:t>
      </w:r>
      <w:br/>
      <w:r>
        <w:rPr>
          <w:sz w:val="22"/>
          <w:szCs w:val="22"/>
        </w:rPr>
        <w:t xml:space="preserve">Συμβάσεις μίσθωσης έργου</w:t>
      </w:r>
    </w:p>
    <w:p>
      <w:pPr>
        <w:jc w:val="both"/>
      </w:pPr>
      <w:r>
        <w:rPr>
          <w:sz w:val="22"/>
          <w:szCs w:val="22"/>
        </w:rPr>
        <w:t xml:space="preserve">1. Η Εταιρεία, για την υλοποίηση του εθνικού σχεδίου δράσης για την ανάπτυξη του Οπτικοακουστικού Δημιουργικού Τομέα στην Ελλάδα, καθώς και προγραμμάτων που χρηματοδοτούνται ή συγχρηματοδοτούνται από ενωσιακούς πόρους, δύναται, να συνάπτει συμβάσεις μίσθωσης έργου με φυσικά πρόσωπα για την υποστήριξη της διαχείρισης, παρακολούθησης και εκτέλεσης εξειδικευμένων έργων, τα οποία χρηματοδοτούνται είτε από το εθνικό είτε από το συγχρηματοδοτούμενο σκέλος του Αναπτυξιακού Προγράμματος Δημοσίων Επενδύσεων είτε από άλλη πηγή, σύμφωνα με τους εκάστοτε κανόνες επιλεξιμότητας. Οι εν ενεργεία συμβάσεις μίσθωσης έργου της παρούσας δεν υπερβαίνουν, κατ’ έτος, το τριάντα πέντε τοις εκατό (35%) του συνόλου των θέσεων της παρ. 1 του άρθρου 17. Οι συμβάσεις μίσθωσης έργου της παρούσας δεν καλύπτουν πάγιες και διαρκείς ανάγκες της Εταιρείας και σε καμία περίπτωση δεν υποκρύπτουν σύμβαση εξαρτημένης εργασίας.</w:t>
      </w:r>
      <w:br/>
      <w:r>
        <w:rPr>
          <w:sz w:val="22"/>
          <w:szCs w:val="22"/>
        </w:rPr>
        <w:t xml:space="preserve">2. Για τη σύναψη συμβάσεων μίσθωσης έργου απαιτείται απόφαση του Διοικητικού Συμβουλίου της Εταιρείας, με την οποία καθορίζονται ιδίως:</w:t>
      </w:r>
      <w:br/>
      <w:r>
        <w:rPr>
          <w:sz w:val="22"/>
          <w:szCs w:val="22"/>
        </w:rPr>
        <w:t xml:space="preserve">α) ο αριθμός των προσώπων που απασχολούνται ανά έργο,</w:t>
      </w:r>
      <w:br/>
      <w:r>
        <w:rPr>
          <w:sz w:val="22"/>
          <w:szCs w:val="22"/>
        </w:rPr>
        <w:t xml:space="preserve">β) η διάρκεια της σύμβασης, η οποία δεν δύναται να υπερβαίνει τη διάρκεια του έργου το οποίο αφορά,</w:t>
      </w:r>
      <w:br/>
      <w:r>
        <w:rPr>
          <w:sz w:val="22"/>
          <w:szCs w:val="22"/>
        </w:rPr>
        <w:t xml:space="preserve">γ) η αμοιβή κάθε συμβαλλομένου και</w:t>
      </w:r>
      <w:br/>
      <w:r>
        <w:rPr>
          <w:sz w:val="22"/>
          <w:szCs w:val="22"/>
        </w:rPr>
        <w:t xml:space="preserve">δ) το ειδικό αντικείμενο της σύμβασης, το οποίο πρέπει να συνδέεται με την εξειδικευμένη υποστήριξη των έργων που υλοποιεί η Εταιρεία στο πλαίσιο των σκοπών και των αρμοδιοτήτων της, σύμφωνα με τους εκάστοτε κανόνες επιλεξιμότητας.</w:t>
      </w:r>
      <w:br/>
      <w:r>
        <w:rPr>
          <w:sz w:val="22"/>
          <w:szCs w:val="22"/>
        </w:rPr>
        <w:t xml:space="preserve">Με την ίδια απόφαση δύνανται να καθορίζονται οι ειδικότεροι όροι συνεργασίας, τα απαιτούμενα προσόντα, τα κριτήρια επιλογής, καθώς και κάθε άλλη αναγκαία λεπτομέρεια σχετικά με τα δικαιώματα και τις υποχρεώσεις των συμβαλλομένων.</w:t>
      </w:r>
      <w:br/>
      <w:r>
        <w:rPr>
          <w:sz w:val="22"/>
          <w:szCs w:val="22"/>
        </w:rPr>
        <w:t xml:space="preserve">3. Μετά από την έκδοση της απόφασης της παρ. 2, η επιλογή των προσώπων που αναλαμβάνουν την εκτέλεση του έργου πραγματοποιείται από την Εταιρεία μέσω δημόσιας πρόσκλησης εκδήλωσης ενδιαφέροντος.</w:t>
      </w:r>
      <w:br/>
      <w:r>
        <w:rPr>
          <w:sz w:val="22"/>
          <w:szCs w:val="22"/>
        </w:rPr>
        <w:t xml:space="preserve">4. Οι συμβάσεις μίσθωσης έργου του παρόντος εξαιρούνται από τον ετήσιο προγραμματισμό ανθρώπινου δυναμικού του δημόσιου τομέα του άρθρου 51 του ν. 4622/2019 (Α’ 133).».</w:t>
      </w:r>
    </w:p>
    <w:p>
      <w:pPr>
        <w:jc w:val="both"/>
      </w:pPr>
      <w:r>
        <w:rPr>
          <w:sz w:val="22"/>
          <w:szCs w:val="22"/>
        </w:rPr>
        <w:t xml:space="preserve">Άρθρο 101</w:t>
      </w:r>
      <w:br/>
      <w:r>
        <w:rPr>
          <w:sz w:val="22"/>
          <w:szCs w:val="22"/>
        </w:rPr>
        <w:t xml:space="preserve">Πλήρωση θέσεων προϊσταμένων του νομικού προσώπου ιδιωτικού δικαίου με την επωνυμία «Ελληνικό Κέντρο Κινηματογράφου, Οπτικοακουστικών Μέσων και Δημιουργίας Α.Ε.» – Αντικατάσταση άρθρου 19 ν. 5105/2024</w:t>
      </w:r>
    </w:p>
    <w:p>
      <w:pPr>
        <w:jc w:val="both"/>
      </w:pPr>
      <w:r>
        <w:rPr>
          <w:sz w:val="22"/>
          <w:szCs w:val="22"/>
        </w:rPr>
        <w:t xml:space="preserve">Το άρθρο 19 του ν. 5105/2024 (Α’ 61), περί της πλήρωσης θέσεων προϊσταμένων του νομικού προσώπου ιδιωτικού δικαίου με την επωνυμία «Ελληνικό Κέντρο Κινηματογράφου, Οπτικοακουστικών Μέσων και Δημιουργίας Α.Ε.», αντικαθίσταται ως εξής:</w:t>
      </w:r>
    </w:p>
    <w:p>
      <w:pPr>
        <w:jc w:val="both"/>
      </w:pPr>
      <w:r>
        <w:rPr>
          <w:sz w:val="22"/>
          <w:szCs w:val="22"/>
        </w:rPr>
        <w:t xml:space="preserve">«Άρθρο 19</w:t>
      </w:r>
      <w:br/>
      <w:r>
        <w:rPr>
          <w:sz w:val="22"/>
          <w:szCs w:val="22"/>
        </w:rPr>
        <w:t xml:space="preserve">Πλήρωση θέσεων προϊσταμένων</w:t>
      </w:r>
    </w:p>
    <w:p>
      <w:pPr>
        <w:jc w:val="both"/>
      </w:pPr>
      <w:r>
        <w:rPr>
          <w:sz w:val="22"/>
          <w:szCs w:val="22"/>
        </w:rPr>
        <w:t xml:space="preserve">1. Η πλήρωση των ειδικών θέσεων Γενικών Διευθυντών και Προϊσταμένων Διευθύνσεων γίνεται με εφαρμογή των παρ. 1 έως 5 του άρθρου 23 του ν. 4972/2022 (Α’ 181) από υπαλλήλους φορέων της Γενικής Κυβέρνησης, όπως αυτή ορίζεται στην περ. β) της παρ. 1 του άρθρου 14 του ν. 4270/2014 (Α’ 143), ή από εξειδικευμένα στελέχη του ιδιωτικού τομέα με σύναψη σύμβασης εργασίας ιδιωτικού δικαίου ορισμένου χρόνου, διάρκειας έως τριών (3) ετών. Σε περίπτωση πλήρωσης των θέσεων του πρώτου εδαφίου από εξειδικευμένα στελέχη του ιδιωτικού τομέα εφαρμόζεται το άρθρο 51 του ν. 4622/2019, περί ετήσιου προγραμματισμού ανθρώπινου δυναμικού του δημόσιου τομέα.</w:t>
      </w:r>
      <w:br/>
      <w:r>
        <w:rPr>
          <w:sz w:val="22"/>
          <w:szCs w:val="22"/>
        </w:rPr>
        <w:t xml:space="preserve">2. Η πλήρωση των θέσεων των προϊσταμένων των οργανικών μονάδων επιπέδου Υποδιεύθυνσης ή Τμήματος, που υπάγονται στις Γενικές Διευθύνσεις του άρθρου 16, γίνεται με απόφαση του Διοικητικού Συμβουλίου (Δ.Σ.) από εργαζομένους της Εταιρείας που υπηρετούν σε αυτή με οποιαδήποτε σχέση εργασίας, σύμφωνα με τον Κανονισμό Λειτουργίας του άρθρου 21.</w:t>
      </w:r>
      <w:br/>
      <w:r>
        <w:rPr>
          <w:sz w:val="22"/>
          <w:szCs w:val="22"/>
        </w:rPr>
        <w:t xml:space="preserve">3. Η πλήρωση των θέσεων των προϊσταμένων των οργανικών μονάδων που υπάγονται στον Διευθύνοντα Σύμβουλο γίνεται με απόφαση του Δ.Σ., μετά από εισήγηση του Διευθύνοντος Συμβούλου, από εργαζομένους της Εταιρείας που υπηρετούν σε αυτή με οποιαδήποτε σχέση εργασίας ή από εξειδικευμένα στελέχη του ιδιωτικού τομέα με σύναψη σύμβασης εργασίας ιδιωτικού δικαίου ορισμένου χρόνου, διάρκειας έως τριών (3) ετών. Σε περίπτωση πλήρωσης των θέσεων του πρώτου εδαφίου από εξειδικευμένα στελέχη του ιδιωτικού τομέα εφαρμόζεται το άρθρο 51 του ν. 4622/2019, περί ετήσιου προγραμματισμού ανθρώπινου δυναμικού του δημόσιου τομέα.</w:t>
      </w:r>
      <w:br/>
      <w:r>
        <w:rPr>
          <w:sz w:val="22"/>
          <w:szCs w:val="22"/>
        </w:rPr>
        <w:t xml:space="preserve">Αν ως προϊστάμενος οργανικής μονάδας επιλεγεί υπάλληλος φορέα της Γενικής Κυβέρνησης, η πλήρωση της θέσης γίνεται με απόσπαση, η οποία διενεργείται με κοινή απόφαση του αρμοδίου οργάνου του εποπτεύοντος Υπουργείου και του καθ’ ύλην αρμόδιου Υπουργείου για όσο χρόνο διαρκεί η θητεία του ως προϊσταμένου. Αν ως προϊστάμενος οργανικής μονάδας επιλεγεί υπάλληλος που υπηρετεί στην Εταιρεία με απόσπαση, η διάρκεια της απόσπασής του παρατείνεται αυτοδίκαια έως τη λήξη της θητείας του ως προϊσταμένου. Αν σε ειδική θέση Γενικού Διευθυντή ή Προϊσταμένου Διεύθυνσης επιλεγεί, βάσει του Κανονισμού Λειτουργίας της Εταιρείας, εργαζόμενος που καλύπτει θέση ιδιωτικού δικαίου αορίστου χρόνου της Εταιρείας, η θέση αυτή παραμένει δεσμευμένη για τον εργαζόμενο που επιλέχθηκε.</w:t>
      </w:r>
      <w:br/>
      <w:r>
        <w:rPr>
          <w:sz w:val="22"/>
          <w:szCs w:val="22"/>
        </w:rPr>
        <w:t xml:space="preserve">Η θητεία των προϊσταμένων των οργανικών μονάδων κάθε επιπέδου είναι τριετής, με δυνατότητα άπαξ ισόχρονης ανανέωσης. Προϊστάμενος οποιουδήποτε επιπέδου δύναται να παύεται, κατά παρέκκλιση κάθε γενικής ή ειδικής διάταξης, με ειδικώς αιτιολογημένη απόφαση του Διοικητικού Συμβουλίου της Εταιρείας, εφόσον έχει συμπληρώσει ένα (1) έτος θητείας και δεν έχει επιτύχει τους συγκεκριμένους στόχους που του έχουν τεθεί εγγράφως από το Διοικητικό Συμβούλιο της Εταιρείας.».</w:t>
      </w:r>
    </w:p>
    <w:p>
      <w:pPr>
        <w:jc w:val="both"/>
      </w:pPr>
      <w:r>
        <w:rPr>
          <w:sz w:val="22"/>
          <w:szCs w:val="22"/>
        </w:rPr>
        <w:t xml:space="preserve">ΚΕΦΑΛΑΙΟ Ζ’</w:t>
      </w:r>
      <w:br/>
      <w:r>
        <w:rPr>
          <w:sz w:val="22"/>
          <w:szCs w:val="22"/>
        </w:rPr>
        <w:t xml:space="preserve">ΕΞΟΥΣΙΟΔΟΤΙΚΕΣ- ΜΕΤΑΒΑΤΙΚΕΣ – ΚΑΤΑΡΓΟΥΜΕΝΕΣ ΔΙΑΤΑΞΕΙΣ ΜΕΡΟΥΣ Δ’</w:t>
      </w:r>
    </w:p>
    <w:p>
      <w:pPr>
        <w:jc w:val="both"/>
      </w:pPr>
      <w:r>
        <w:rPr>
          <w:sz w:val="22"/>
          <w:szCs w:val="22"/>
        </w:rPr>
        <w:t xml:space="preserve">Άρθρο 102</w:t>
      </w:r>
      <w:br/>
      <w:r>
        <w:rPr>
          <w:sz w:val="22"/>
          <w:szCs w:val="22"/>
        </w:rPr>
        <w:t xml:space="preserve">Εξουσιοδοτικές διατάξεις Μέρους Δ’</w:t>
      </w:r>
    </w:p>
    <w:p>
      <w:pPr>
        <w:jc w:val="both"/>
      </w:pPr>
      <w:r>
        <w:rPr>
          <w:sz w:val="22"/>
          <w:szCs w:val="22"/>
        </w:rPr>
        <w:t xml:space="preserve">1. Με απόφαση του Υπουργού Πολιτισμού δύναται να ορίζεται η χρήση ψηφιακής πλατφόρμας για την υποστήριξη των καθεστώτων ενίσχυσης του Προγράμματος CRGR που χρηματοδοτούνται από πόρους του Εθνικού Προγράμματος Ανάπτυξης (Ε.Π.Α.), σύμφωνα με την παρ. 2 του άρθρου 28 του ν. 5264/2025 (Α’ 239), υπό την προϋπόθεση ότι διασφαλίζεται η αναγκαία διαλειτουργικότητα με τα πληροφοριακά συστήματα της δημόσιας διοίκησης. Με την ίδια απόφαση καθορίζονται οι τεχνικές προδιαγραφές και οι όροι λειτουργίας της πλατφόρμας, η οποία συμμορφώνεται με την εθνική και ενωσιακή νομοθεσία περί κρατικών ενισχύσεων και διασφαλίζει ιδίως τη διαφάνεια, τη δημοσιονομική παρακολούθηση, τον έλεγχο σώρευσης ενισχύσεων, την ιχνηλασιμότητα και την προστασία των δεδομένων.</w:t>
      </w:r>
      <w:br/>
      <w:r>
        <w:rPr>
          <w:sz w:val="22"/>
          <w:szCs w:val="22"/>
        </w:rPr>
        <w:t xml:space="preserve">2. Με κοινή απόφαση των Υπουργών Πολιτισμού και Εθνικής Οικονομίας και Οικονομικών καθορίζεται η αποζημίωση των μελών της Κεντρικής Επιτροπής Αξιολόγησης και Επιλογής του άρθρου 85 του παρόντος.</w:t>
      </w:r>
    </w:p>
    <w:p>
      <w:pPr>
        <w:jc w:val="both"/>
      </w:pPr>
      <w:r>
        <w:rPr>
          <w:sz w:val="22"/>
          <w:szCs w:val="22"/>
        </w:rPr>
        <w:t xml:space="preserve">Άρθρο 103</w:t>
      </w:r>
      <w:br/>
      <w:r>
        <w:rPr>
          <w:sz w:val="22"/>
          <w:szCs w:val="22"/>
        </w:rPr>
        <w:t xml:space="preserve">Μεταβατικές διατάξεις Μέρους Δ’</w:t>
      </w:r>
    </w:p>
    <w:p>
      <w:pPr>
        <w:jc w:val="both"/>
      </w:pPr>
      <w:r>
        <w:rPr>
          <w:sz w:val="22"/>
          <w:szCs w:val="22"/>
        </w:rPr>
        <w:t xml:space="preserve">1. Οι διαδικασίες που αφορούν εκκρεμείς αιτήσεις ή αιτήσεις επενδυτικών σχεδίων οπτικοακουστικών έργων που πρόκειται να υποβληθούν μέχρι τις 31.12.2026 για τη Δράση Α’ και μέχρι την εξάντληση του διαθέσιμου προϋπολογισμού για τη Δράση Β’ του καθεστώτος FTV, καθώς και του καθεστώτος Animate, διέπονται από τις κοινές υπουργικές αποφάσεις που έχουν εκδοθεί κατ’ εξουσιοδότηση της παρ. 1 του άρθρου 89 του ν. 5105/2024 (Α’ 61), οι οποίες εξακολουθούν να ισχύουν μέχρι την τελική διεκπεραίωση όλων των αιτήσεων, συμπεριλαμβανομένου του δειγματοληπτικού ελέγχου.</w:t>
      </w:r>
      <w:br/>
      <w:r>
        <w:rPr>
          <w:sz w:val="22"/>
          <w:szCs w:val="22"/>
        </w:rPr>
        <w:t xml:space="preserve">2. Από την έναρξη ισχύος του παρόντος και έως τις 31.12.2026, αιτήσεις για επενδυτικά σχέδια οπτικοακουστικών έργων που υποβάλλονται στη Δράση Α2, όπως αυτή καθορίστηκε με την υπ’ αρ. 164085/20.4.2026 κοινή απόφαση των Υπουργών Εθνικής Οικονομίας και Οικονομικών και Πολιτισμού «Κατανομή του ετήσιου προϋπολογισμού των καθεστώτων ενίσχυσης του Προγράμματος Cash Rebate Greece (CRGR) FTV, ανά κατηγορία οπτικοακουστικών έργων, για το έτος 2026» (Β’ 2205), η οποία εκδόθηκε κατ’ εξουσιοδότηση της παρ. 2 του άρθρου 89 του ν. 5105/2024, δύνανται να αφορούν όλα τα επιλέξιμα επενδυτικά σχέδια, όπως αυτά ορίζονται στην υποπερ. ii) της περ. ε) και στην περ. στ) της παρ. 5 του άρθρου 78 του παρόντος. Οι αιτήσεις αξιολογούνται σύμφωνα με τα πολιτιστικά κριτήρια του Παραρτήματος Ι της υπ’ αρ. 607434/14.1.2026 κοινής απόφασης των Υπουργών Εθνικής Οικονομίας και Οικονομικών και Πολιτισμού «Αντικατάσταση της υπ’ αρ. 6376/16.1.2025 κοινής υπουργικής απόφασης “Προκήρυξη καθεστώτος Cash Rebate Greece-FTV (CRGR-FTV) για την ενίσχυση της παραγωγής οπτικοακουστικών έργων στον τομέα του κινηματογράφου και των τηλεοπτικών προγραμμάτων στην Ελλάδα, σύμφωνα με το Μέρος Γ’ του ν. 5105/2024 (Α’ 61) και εξειδίκευση ειδικότερων θεμάτων του νόμου αυτού” (Β’ 49)» (Β’ 87). Η παρ. 1 εφαρμόζεται και στα επενδυτικά σχέδια της παρούσας.</w:t>
      </w:r>
      <w:br/>
      <w:r>
        <w:rPr>
          <w:sz w:val="22"/>
          <w:szCs w:val="22"/>
        </w:rPr>
        <w:t xml:space="preserve">3. Από την έναρξη ισχύος του παρόντος και έως τις 31.12.2026, στη χρηματοδότηση, το συνολικό ύψος της οποίας καθορίστηκε για τα επενδυτικά σχέδια της περ. δ) της παρ. 2 του άρθρου 26 του ν. 5105/2024, σύμφωνα με την παρ. 3 του άρθρου 1 της υπ’ αρ. 164085/20.4.2026 κοινής υπουργικής απόφασης, δύνανται να υποβάλλονται αιτήσεις ένταξης για επενδυτικά σχέδια οπτικοακουστικών έργων της υποπερ. ii) της περ. ε) και της περ. στ) της παρ. 5 του άρθρου 78 του παρόντος. Οι αιτήσεις αξιολογούνται σύμφωνα με τα πολιτιστικά κριτήρια του Παραρτήματος Ι της υπ’ αρ. 607434/14.1.2026 κοινής υπουργικής απόφασης. Η παρ. 1 εφαρμόζεται και στα επενδυτικά σχέδια της παρούσας.</w:t>
      </w:r>
      <w:br/>
      <w:r>
        <w:rPr>
          <w:sz w:val="22"/>
          <w:szCs w:val="22"/>
        </w:rPr>
        <w:t xml:space="preserve">4. Από την έναρξη ισχύος του παρόντος, σε όλες τις δράσεις του Προγράμματος CRGR FTV, όπως αυτές καθορίστηκαν με την υπ’ αρ. 164085/20.4.2026 κοινή υπουργική απόφαση, ισχύουν οι ελάχιστες επιλέξιμες δαπάνες της παρ. 5 του άρθρου 78 του παρόντος.</w:t>
      </w:r>
      <w:br/>
      <w:r>
        <w:rPr>
          <w:sz w:val="22"/>
          <w:szCs w:val="22"/>
        </w:rPr>
        <w:t xml:space="preserve">5. Η κατανομή του ετήσιου προϋπολογισμού του Εθνικού Προγράμματος Ανάπτυξης (Ε.Π.Α.) για το έτος 2026 στις Δράσεις Α1 και Α2, όπως καθορίστηκε με την υπ’ αρ. 164085/20.4.2026 κοινή υπουργική απόφαση, διατηρείται για το σύνολο της προγραμματικής περιόδου 2026-2030 ως κατανομή για τις Δράσεις Film Greece και TV Greece, αντίστοιχα. Τα ποσά που προβλέπονται για κάθε Δράση του καθεστώτος ενίσχυσης FTV Greece αποτελούν ελάχιστα εγγυημένα ποσά χρηματοδότησης και δύνανται να αναπροσαρμόζονται μόνο προς αύξηση.</w:t>
      </w:r>
      <w:br/>
      <w:r>
        <w:rPr>
          <w:sz w:val="22"/>
          <w:szCs w:val="22"/>
        </w:rPr>
        <w:t xml:space="preserve">6. Οι αιτήσεις χρηματοδότησης που υποβλήθηκαν από τις 5.8.2025 έως και τις 31.12.2025 αξιολογούνται από τους δύο (2) ορισθέντες αξιολογητές, σύμφωνα με το κανονιστικό πλαίσιο και τα δικαιολογητικά της υπ’ αρ. 6376/9.1.2025 κοινής απόφασης των Υπουργών Εθνικής Οικονομίας και Οικονομικών και Πολιτισμού «Προκήρυξη καθεστώτος Cash Rebate Greece FTV (CRGR-FTV) για την ενίσχυση της παραγωγής οπτικοακουστικών έργων στον τομέα του κινηματογράφου και των τηλεοπτικών προγραμμάτων στην Ελλάδα, σύμφωνα με το Μέρος Γ’ του ν. 5105/2024 (Α’ 61) και εξειδίκευση ειδικότερων θεμάτων του νόμου αυτού» (Β’ 49), όπως αυτή ίσχυε κατά τον χρόνο υποβολής των αιτήσεων. Η παρούσα διάταξη καταλαμβάνει όλες τις εκκρεμείς αιτήσεις της ως άνω χρονικής περιόδου, ανεξαρτήτως του σταδίου στο οποίο βρίσκονται, και ιδίως τα στάδια τροποποίησης, αξιολόγησης και ελέγχου. Πράξεις αξιολόγησης που έχουν ήδη διενεργηθεί κατ’ εφαρμογή της παρούσας θεωρούνται νόμιμες και ισχυρές.</w:t>
      </w:r>
      <w:br/>
      <w:r>
        <w:rPr>
          <w:sz w:val="22"/>
          <w:szCs w:val="22"/>
        </w:rPr>
        <w:t xml:space="preserve">7. Αιτήσεις χρηματοδότησης που υποβλήθηκαν εκτός της ηλεκτρονικής πλατφόρμας υποβολής αιτήσεων ένταξης στα καθεστώτα ενίσχυσης από την 1η.1.2026 έως την ημερομηνία ενεργοποίησης της πλατφόρμας του Ολοκληρωμένου Πληροφοριακού Συστήματος Κρατικών Ενισχύσεων (Ο.Π.Σ.Κ.Ε.) για αιτήσεις του έτους 2026 θεωρούνται ότι έχουν υποβληθεί νομίμως, ανεξαρτήτως κατηγορίας οπτικοακουστικού έργου, εφόσον τηρούνται οι προϋποθέσεις της παρ. 2 του άρθρου 79 του παρόντος και του Γ.Α.Κ.</w:t>
      </w:r>
      <w:br/>
      <w:r>
        <w:rPr>
          <w:sz w:val="22"/>
          <w:szCs w:val="22"/>
        </w:rPr>
        <w:t xml:space="preserve">8. Για τις αξιολογήσεις επενδυτικών σχεδίων της Δράσης Β των καθεστώτων ενίσχυσης του ν. 5105/2024, που χρηματοδοτούνται από συγχρηματοδοτούμενους πόρους του Εταιρικού Συμφώνου Περιφερειακής Ανάπτυξης, εφαρμόζεται το ανώτατο όριο αποζημίωσης του προτελευταίου εδαφίου της παρ. 2 του άρθρου 21 του ν. 4354/2015 (Α΄ 176), το οποίο δεν συνυπολογίζεται στα ανώτατα όρια αποζημίωσης που εφαρμόζονται για τις αξιολογήσεις επενδυτικών σχεδίων της Δράσης Α. Η παρούσα εφαρμόζεται και σε αξιολογήσεις που έχουν διενεργηθεί και δεν έχουν εξοφληθεί κατά την έναρξη ισχύος του παρόντος.</w:t>
      </w:r>
      <w:br/>
      <w:r>
        <w:rPr>
          <w:sz w:val="22"/>
          <w:szCs w:val="22"/>
        </w:rPr>
        <w:t xml:space="preserve">9. Με απόφαση του Διοικητικού Συμβουλίου του Ε.Κ.Κ.Ο.ΜΕ.Δ. διευκρινίζονται τεχνικής φύσης ζητήματα που αφορούν στην ομαλή μετάβαση από τα καθεστώτα του ν. 5105/2024 στα καθεστώτα του παρόντος, όπως ζητήματα που προκύπτουν από τη χρήση νέας πλατφόρμας υποβολής αιτήσεων, ζητήματα ερμηνείας των διατάξεων των νέων καθεστώτων σε σχέση με τις αντίστοιχες διατάξεις του ν. 5105/2024, κατόπιν νομικής γνωμοδότησης, ζητήματα που αφορούν στα δικαιολογητικά των αιτήσεων ή στα συμπληρωματικά δικαιολογητικά που ζητούνται, καθώς και διαδικαστικά ζητήματα που ανακύπτουν κατά τις διαδικασίες αξιολόγησης, τροποποίησης και ελέγχου.</w:t>
      </w:r>
      <w:br/>
      <w:r>
        <w:rPr>
          <w:sz w:val="22"/>
          <w:szCs w:val="22"/>
        </w:rPr>
        <w:t xml:space="preserve">10. Προγραμματικές συμβάσεις που υπογράφηκαν το 2026 στο πλαίσιο της υλοποίησης της διοργάνωσης των Ευρωπαϊκών Βραβείων Κινηματογράφου το 2027 στην Αθήνα θεωρούνται προγραμματικές πολιτιστικές συμβάσεις εξωστρέφειας και πολιτιστικής διπλωματίας του οπτικοακουστικού δημιουργικού τομέα του άρθρου 94 του παρόντος.</w:t>
      </w:r>
      <w:br/>
      <w:r>
        <w:rPr>
          <w:sz w:val="22"/>
          <w:szCs w:val="22"/>
        </w:rPr>
        <w:t xml:space="preserve">11. Από την έναρξη ισχύος του παρόντος, οι δικηγόροι με έμμισθη εντολή, οι νομικοί σύμβουλοι και το προσωπικό που υπηρετεί στο Γραφείο Νομικής Υποστήριξης, καθώς και το προσωπικό που υπηρετεί στη Μονάδα Επικοινωνίας και Δημοσίων Σχέσεων, τα οποία καταργούνται με τον παρόντα, διατίθενται, με απόφαση του Διοικητικού Συμβουλίου του Ε.Κ.Κ.Ο.ΜΕ.Δ., στις οργανικές μονάδες του νομικού προσώπου για την υποβοήθηση του έργου και την κάλυψη των αναγκών τους. Οι σχετικές συμβάσεις τροποποιούνται αναλόγως, εφόσον κρίνεται αναγκαίο.</w:t>
      </w:r>
      <w:br/>
      <w:r>
        <w:rPr>
          <w:sz w:val="22"/>
          <w:szCs w:val="22"/>
        </w:rPr>
        <w:t xml:space="preserve">12. Οι μόνιμοι υπάλληλοι και οι υπάλληλοι με σχέση εργασίας ιδιωτικού δικαίου αορίστου χρόνου φορέων της Γενικής Κυβέρνησης, οι οποίοι, κατά την έναρξη ισχύος του παρόντος, υπηρετούν με απόσπαση στο Ε.Κ.Κ.Ο.ΜΕ.Δ. για χρονικό διάστημα τουλάχιστον δύο (2) ετών, δύνανται, κατόπιν αίτησής τους και ύστερα από απόφαση του Διοικητικού Συμβουλίου της Εταιρείας, να μετατάσσονται στο Ε.Κ.Κ.Ο.ΜΕ.Δ. σε αντίστοιχες θέσεις κλάδου της ίδιας ή ανώτερης κατηγορίας, με τον βαθμό και το μισθολογικό κλιμάκιο που κατέχουν, με σχέση εργασίας ιδιωτικού δικαίου αορίστου χρόνου και με διατήρηση τυχόν προσωπικής διαφοράς στις αποδοχές τους.</w:t>
      </w:r>
      <w:br/>
      <w:r>
        <w:rPr>
          <w:sz w:val="22"/>
          <w:szCs w:val="22"/>
        </w:rPr>
        <w:t xml:space="preserve">13. Οι μόνιμοι υπάλληλοι της παρ. 12 μετατρέπονται σε ιδιωτικού δικαίου αορίστου χρόνου και καταλαμβάνουν κενές οργανικές θέσεις αντίστοιχης κατηγορίας, κλάδου ή ειδικότητας του Ε.Κ.Κ.Ο.ΜΕ.Δ..</w:t>
      </w:r>
      <w:br/>
      <w:r>
        <w:rPr>
          <w:sz w:val="22"/>
          <w:szCs w:val="22"/>
        </w:rPr>
        <w:t xml:space="preserve">14. Η μετάταξη της παρ. 12 διενεργείται με κοινή απόφαση του αρμόδιου οργάνου του φορέα προέλευσης και του Διοικητικού Συμβουλίου του Ε.Κ.Κ.Ο.ΜΕ.Δ., κατά παρέκκλιση του ν. 4440/2016 (Α’ 224) και κάθε γενικής ή ειδικής διάταξης, χωρίς να απαιτείται γνώμη υπηρεσιακού συμβουλίου ή έγκριση άλλου συλλογικού οργάνου. Ο χρόνος υπηρεσίας που έχει διανυθεί στον φορέα προέλευσης και ο χρόνος απόσπασης στο Ε.Κ.Κ.Ο.ΜΕ.Δ. αναγνωρίζονται για κάθε μισθολογική και ασφαλιστική συνέπεια.</w:t>
      </w:r>
    </w:p>
    <w:p>
      <w:pPr>
        <w:jc w:val="both"/>
      </w:pPr>
      <w:r>
        <w:rPr>
          <w:sz w:val="22"/>
          <w:szCs w:val="22"/>
        </w:rPr>
        <w:t xml:space="preserve">Άρθρο 104</w:t>
      </w:r>
      <w:br/>
      <w:r>
        <w:rPr>
          <w:sz w:val="22"/>
          <w:szCs w:val="22"/>
        </w:rPr>
        <w:t xml:space="preserve">Καταργούμενες διατάξεις Μέρους Δ’</w:t>
      </w:r>
      <w:br/>
      <w:r>
        <w:rPr>
          <w:sz w:val="22"/>
          <w:szCs w:val="22"/>
        </w:rPr>
        <w:t xml:space="preserve">Από την 1η.1.2027, καταργούνται από τον ν. 5105/2024 (Α’ 61):</w:t>
      </w:r>
      <w:br/>
      <w:r>
        <w:rPr>
          <w:sz w:val="22"/>
          <w:szCs w:val="22"/>
        </w:rPr>
        <w:t xml:space="preserve">α) το Μέρος Γ’ (άρθρα 22 έως 41), περί Προγράμματος Στήριξης Οπτικοακουστικών Μέσων στην Ελλάδα (Cash Rebate Greece – CRGR),</w:t>
      </w:r>
      <w:br/>
      <w:r>
        <w:rPr>
          <w:sz w:val="22"/>
          <w:szCs w:val="22"/>
        </w:rPr>
        <w:t xml:space="preserve">β) το άρθρο 44, περί Προγράμματος Εξωστρέφειας του Οπτικοακουστικού Τομέα, και</w:t>
      </w:r>
      <w:br/>
      <w:r>
        <w:rPr>
          <w:sz w:val="22"/>
          <w:szCs w:val="22"/>
        </w:rPr>
        <w:t xml:space="preserve">γ) η παρ. 2 του άρθρου 90, περί κατ’ εξουσιοδότηση ρύθμισης ζητημάτων που αφορούν στο Πρόγραμμα Εξωστρέφειας του Οπτικοακουστικού Τομέα.</w:t>
      </w:r>
    </w:p>
    <w:p/>
    <w:p>
      <w:pPr/>
      <w:r>
        <w:rPr>
          <w:sz w:val="22"/>
          <w:szCs w:val="22"/>
          <w:b w:val="1"/>
          <w:bCs w:val="1"/>
        </w:rPr>
        <w:t xml:space="preserve">Σχόλια επί της ενότητας 4</w:t>
      </w:r>
    </w:p>
    <w:p>
      <w:pPr/>
      <w:r>
        <w:rPr>
          <w:b w:val="1"/>
          <w:bCs w:val="1"/>
        </w:rPr>
        <w:t xml:space="preserve">ΦΟΙΒΗ ΜΑΡΙΑ ΚΩΝΣΤΑΝΤΙΝΙΔΗ ΑΣΗΜΑΚΟΠΟΥΛΟΥ – 15 Ιουλίου 2026, 16:13</w:t>
      </w:r>
    </w:p>
    <w:p>
      <w:pPr/>
      <w:r>
        <w:rPr/>
        <w:t xml:space="preserve">Τα παρακάτω σχόλια αφορούν το Μέρος Δ'</w:t>
      </w:r>
    </w:p>
    <w:p/>
    <w:p/>
    <w:p>
      <w:pPr/>
      <w:r>
        <w:rPr/>
        <w:t xml:space="preserve">Είναι σημαντικό, προκειμένου ένα φεστιβάλ να είναι επιλέξιμο για χρηματοδότηση, να πρέπει να πληροί τις ακόλουθες προϋποθέσεις:</w:t>
      </w:r>
    </w:p>
    <w:p/>
    <w:p/>
    <w:p>
      <w:pPr/>
      <w:r>
        <w:rPr/>
        <w:t xml:space="preserve">1. Να έχει διάρκεια τουλάχιστον δύο (2) συνεχόμενων ημερών ή να πραγματοποιείται σε πέντε (5) ή περισσότερες μη συνεχόμενες ημέρες.</w:t>
      </w:r>
    </w:p>
    <w:p/>
    <w:p/>
    <w:p>
      <w:pPr/>
      <w:r>
        <w:rPr/>
        <w:t xml:space="preserve">2. Να διαθέτει αποδεδειγμένη ιστορία λειτουργίας ως φεστιβάλ τουλάχιστον τεσσάρων (4) ετών.</w:t>
      </w:r>
    </w:p>
    <w:p/>
    <w:p/>
    <w:p>
      <w:pPr/>
      <w:r>
        <w:rPr/>
        <w:t xml:space="preserve">Τέλος, το ύψος της χρηματοδότησης να καθορίζεται, μεταξύ άλλων, με βάση την αναλογικότητα των πωληθέντων εισιτηρίων, βάσει αντικειμενικών και επαληθεύσιμων στοιχείων.</w:t>
      </w:r>
    </w:p>
    <w:p/>
    <w:p/>
    <w:p>
      <w:pPr/>
      <w:r>
        <w:rPr/>
        <w:t xml:space="preserve">--</w:t>
      </w:r>
    </w:p>
    <w:p/>
    <w:p>
      <w:pPr/>
      <w:r>
        <w:rPr>
          <w:b w:val="1"/>
          <w:bCs w:val="1"/>
        </w:rPr>
        <w:t xml:space="preserve">Α******* Κ************** σ********* – 17 Ιουλίου 2026, 10:19</w:t>
      </w:r>
    </w:p>
    <w:p>
      <w:pPr/>
      <w:r>
        <w:rPr/>
        <w:t xml:space="preserve">Τα περισσότερα από τα άρθρα του Κεφαλαίου Γ αφορούν ζητήματα που έως τώρα καθορίζονταν από το χρηματοδοτικό κανονισμό του οργανισμού (όπως συνηθίζεται σε όλους τους αντίστοιχους παγκόσμιους οργανισμούς), και δεν δύναται να αποτελούν άρθρα ενός νόμου (για παράδειγμα, το χρονικό διάστημα που μεσολαβεί από την προέγκριση στην υπογραφή της σύμβασης και, ο ορισμός των δόσεων της χρηματοδότησης, κ.α.).</w:t>
      </w:r>
    </w:p>
    <w:p/>
    <w:p/>
    <w:p>
      <w:pPr/>
      <w:r>
        <w:rPr/>
        <w:t xml:space="preserve">Όπως είναι ευνόητο, οι χρηματοδοτικοί κανονισμοί των Εθνικών Κέντρων Κινηματογράφου δοκιμάζονται στην πράξη και ανανεώνονται τακτικά, μια και είναι άμεσα εξαρτώμενοι από τις ολοένα και πιο ταχείς εξελίξεις του παγκόσμιου οπτικοακουστικού τομέα. Η ένταξη αυτών των ζητημάτων σε ένα νόμο, που προφανώς και δεν μπορεί να τροποποιείται σε τακτά διαστήματα, μόνο αγκυλώσεις και εμπόδια μπορεί να επιφέρει στην ανάπτυξη του τομέα.</w:t>
      </w:r>
    </w:p>
    <w:p/>
    <w:p/>
    <w:p>
      <w:pPr/>
      <w:r>
        <w:rPr/>
        <w:t xml:space="preserve">Το συγκεκριμένο Κεφάλαιο εγκαινιάζει τη δυνατότητα ανάκλησης της προέγκρισης ή και της σύμβασης χρηματοδότησης για λόγους προστασίας του δημόσιου συμφέροντος (άρθρο 84). Αυτή η νέα δυνατότητα συνδυαζόμενη με τη σύσταση πενταμελούς Κεντρικής Επιτροπής Αξιολόγησης και Επιλογής (άρθρο 85), που στην πλειοψηφία τους (άμεσα ή έμμεσα) τα μέλη της θα σχετίζονται με το Υπουργείο Πολιτισμού, δημιουργεί ερωτήματα για την πιθανή πρόθεση μεροληπτικής κρατικής παρέμβασης στο έργο του Οργανισμού, και σε κάποιες περιπτώσεις ελέγχου του περιεχομένου, πρόθεση που δεν ταιριάζει σε ένα σύγχρονο Ευρωπαϊκό κράτος.</w:t>
      </w:r>
    </w:p>
    <w:p/>
    <w:p/>
    <w:p>
      <w:pPr/>
      <w:r>
        <w:rPr/>
        <w:t xml:space="preserve">Για όλους τους παραπάνω λόγους, θεωρούμε πως η συνολική απόσυρση από το σχέδιο νόμου του</w:t>
      </w:r>
    </w:p>
    <w:p/>
    <w:p>
      <w:pPr/>
      <w:r>
        <w:rPr/>
        <w:t xml:space="preserve">Κεφαλαίου Γ´ (που αφορά τα επιλεκτικά προγράμματα χρηματοδοτικής στήριξης του Ελληνικού κινηματογράφου), κρίνεται απαραίτητη.</w:t>
      </w:r>
    </w:p>
    <w:p/>
    <w:p/>
    <w:p>
      <w:pPr/>
      <w:r>
        <w:rPr/>
        <w:t xml:space="preserve">Θεωρούμε αναγκαία την αποσαφήνιση του καταμερισμού πόρων ανάμεσα στις δράσεις του cash rebate. Και ιδιαιτέρως κρίσιμη την προστασία των πόρων για τις ελληνικές κινηματογραφικές παραγωγές. Θεωρούμε πως δε νοείται ανταγωνισμός πόρων μεταξύ αλλοδαπών σειρών/ελληνικών τηλεπαιχνιδιών, που χρηματοδοτούνται επίσης από διαφήμιση, χορηγούς και ιδιωτικά κεφάλαια ισχύος και ελληνικών κινηματογραφικών έργων, που δε χαίρουν αυτών των δυνατοτήτων, ενώ εξάγουν καθαρό πολιτισμικό προϊόν.</w:t>
      </w:r>
    </w:p>
    <w:p/>
    <w:p>
      <w:pPr/>
      <w:r>
        <w:rPr>
          <w:b w:val="1"/>
          <w:bCs w:val="1"/>
        </w:rPr>
        <w:t xml:space="preserve">Πανελλήνια Ομοσπονδία Θεάματος Ακροάματος – 18 Ιουλίου 2026, 19:52</w:t>
      </w:r>
    </w:p>
    <w:p>
      <w:pPr/>
      <w:r>
        <w:rPr/>
        <w:t xml:space="preserve">Πανελλήνια Ομοσπονδία Θεάματος- Ακροάματος.</w:t>
      </w:r>
    </w:p>
    <w:p/>
    <w:p/>
    <w:p>
      <w:pPr/>
      <w:r>
        <w:rPr/>
        <w:t xml:space="preserve">Κυρία Υπουργέ,</w:t>
      </w:r>
    </w:p>
    <w:p/>
    <w:p/>
    <w:p>
      <w:pPr/>
      <w:r>
        <w:rPr/>
        <w:t xml:space="preserve">Η Ομοσπονδία μας εκπροσωπώντας το σύνολο των καλλιτεχνών και εργαζομένων στο Θέαμα και Ακρόαμα, παρεμβαίνουμε στη δημόσια διαβούλευση εκφράζοντας την έντονη ανησυχία μας και τους προβληματισμούς μας  σχετικά με το παρόν αναρτηθέν στην δημόσια διαβούλευση σχεδίου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Πόρων(Ο.Δ.Α.Π.)-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
      <w:pPr/>
      <w:r>
        <w:rPr/>
        <w:t xml:space="preserve">Η αναφορά μας αφορά τα άρθρα 74 έως 104 του Μέρους Δ΄ και τα άρθρα 117,120,122 του Μέρους Ε΄.</w:t>
      </w:r>
    </w:p>
    <w:p/>
    <w:p/>
    <w:p>
      <w:pPr/>
      <w:r>
        <w:rPr/>
        <w:t xml:space="preserve">Συγκεκριμένα: </w:t>
      </w:r>
    </w:p>
    <w:p/>
    <w:p/>
    <w:p>
      <w:pPr/>
      <w:r>
        <w:rPr/>
        <w:t xml:space="preserve">1)	ΕΠΙ ΤΟΥ ΜΕΡΟΥΣ Δ΄ «ΡΥΘΜΙΣΕΙΣ ΓΙΑ ΤΗΝ ΕΦΑΡΜΟΓΗ ΤΟΥ ΕΘΝΙΚΟΥ ΣΧΕΔΙΟΥ ΔΡΑΣΗΣ ΓΙΑ ΤΗΝ ΑΝΑΠΤΥΞΗ ΤΟΥ ΟΠΤΙΚΟΑΚΟΥΣΤΙΚΟΥ ΔΗΜΙΟΥΡΓΙΚΟΥ ΤΟΜΕΑ (ΑΡΘΡΑ 74-104)»</w:t>
      </w:r>
    </w:p>
    <w:p/>
    <w:p/>
    <w:p>
      <w:pPr/>
      <w:r>
        <w:rPr/>
        <w:t xml:space="preserve">Όπως είχαμε επισημάνει και κατά την ψήφιση του Νόμου 5105/2024, το ΕΚΚΟΜΕΔ αποτελεί μια διεθνή ιδιαιτερότητα που δεν ανταποκρίνεται στις καθιερωμένες πρακτικές. Στις περισσότερες χώρες λειτουργεί ένα ανεξάρτητο Κέντρο Κινηματογράφου, το οποίο στηρίζει την κινηματογραφική δημιουργία με καλλιτεχνικά και πολιτιστικά κριτήρια, τα οποία δεν μπορούν να αποτιμηθούν αποκλειστικά με οικονομικούς ή ποσοτικούς δείκτες. Παράλληλα, λειτουργεί ένας διακριτός οργανισμός, αρμόδιος για τα υπόλοιπα ζητήματα του οπτικοακουστικού τομέα, όπως η προσέλκυση διεθνών παραγωγών, τα κίνητρα (cash rebate), οι τηλεοπτικοί σταθμοί, οι ψηφιακές πλατφόρμες και η ευρύτερη ανάπτυξη της οπτικοακουστικής βιομηχανίας.</w:t>
      </w:r>
    </w:p>
    <w:p/>
    <w:p/>
    <w:p>
      <w:pPr/>
      <w:r>
        <w:rPr/>
        <w:t xml:space="preserve">Το παρόν Σχέδιο Νόμου καταρτίστηκε, για ακόμη μία φορά, χωρίς ουσιαστική διαβούλευση με τους συλλογικούς φορείς των καλλιτεχνών και των εργαζομένων στον χώρο της τέχνης και του πολιτισμού. Πρόκειται για φορείς που διαθέτουν αποδεδειγμένα πολυετή εμπειρία, καθώς και σημαντική γνώση των σύγχρονων εξελίξεων τόσο σε εθνικό όσο και σε ευρωπαϊκό επίπεδο, γεγονός που θα μπορούσε να συμβάλει ουσιαστικά στη διαμόρφωση ενός αποτελεσματικού και σύγχρονου θεσμικού πλαισίου.</w:t>
      </w:r>
    </w:p>
    <w:p/>
    <w:p/>
    <w:p>
      <w:pPr/>
      <w:r>
        <w:rPr/>
        <w:t xml:space="preserve">Από την πρώτη στιγμή διαπιστώνουμε ότι το παρόν Σχέδιο Νόμου όχι μόνο διατηρεί αλλά και ενισχύει τη λογική της εμπορευματοποίησης της κινηματογραφικής τέχνης και της οπτικοακουστικής παραγωγής. Αντιμετωπίζει το κινηματογραφικό έργο πρωτίστως ως επιχειρηματική επένδυση και οικονομικό προϊόν, αντί να αναγνωρίζει τον χαρακτήρα του ως καλλιτεχνική δημιουργία με ουσιαστική κοινωνική, πολιτιστική και εκπαιδευτική αξία. Την ίδια στιγμή, παραλείπει να θεσπίσει ουσιαστικά κίνητρα για την ανάδειξη και στήριξη νέων δημιουργών.</w:t>
      </w:r>
    </w:p>
    <w:p/>
    <w:p/>
    <w:p>
      <w:pPr/>
      <w:r>
        <w:rPr/>
        <w:t xml:space="preserve">Είναι χαρακτηριστικό ότι δεν προβλέπονται νέοι ή εναλλακτικοί μηχανισμοί χρηματοδότησης της κινηματογραφικής δημιουργίας, ούτε λαμβάνονται πρωτοβουλίες για την ενίσχυση του σεναρίου, που αποτελεί το θεμέλιο κάθε κινηματογραφικού έργου. Απουσιάζουν επίσης μέτρα για την ανάδειξη νέων δημιουργικών ταλέντων, τη στήριξη των ανεξάρτητων δημιουργών και την ενδυνάμωση της καλλιτεχνικής παραγωγής πέρα από τα στενά οικονομικά κριτήρια.</w:t>
      </w:r>
    </w:p>
    <w:p/>
    <w:p/>
    <w:p>
      <w:pPr/>
      <w:r>
        <w:rPr/>
        <w:t xml:space="preserve">Για ακόμη μία φορά, η οπτικοακουστική παραγωγή προσεγγίζεται κυρίως ως εργαλείο οικονομικής ανάπτυξης και προσέλκυσης επενδύσεων, με αποτέλεσμα να υποβαθμίζεται η ιδιότητά της ως έργου τέχνης και να παραγνωρίζεται ο καθοριστικός κοινωνικός και πολιτιστικός της ρόλος. Έτσι, η πολιτική για τον κινηματογράφο περιορίζεται σε μια αναπτυξιακή λογική, χωρίς να αντιμετωπίζει τον πολιτισμό ως δημόσιο αγαθό που χρήζει ουσιαστικής προστασίας και ενίσχυσης.</w:t>
      </w:r>
    </w:p>
    <w:p/>
    <w:p/>
    <w:p>
      <w:pPr/>
      <w:r>
        <w:rPr/>
        <w:t xml:space="preserve">Με το Σχέδιο Νόμου υποβαθμίζεται η ελληνική κινηματογραφική τέχνη, καθώς αντιμετωπίζεται απλώς ως «κινηματογραφική παραγωγή» και όχι ως ξεχωριστή μορφή καλλιτεχνικής δημιουργίας. Παράλληλα, η αναφορά στη στήριξη της οπτικοακουστικής παραγωγής σημαίνει ότι ο νέος φορέας θα συνεχίσει να χρηματοδοτεί, εκτός από τον κινηματογράφο, και τηλεοπτικές σειρές ή άλλες παραγωγές των ιδιωτικών καναλιών, ακολουθώντας την ίδια πολιτική που εφαρμόζεται μέχρι σήμερα.</w:t>
      </w:r>
    </w:p>
    <w:p/>
    <w:p/>
    <w:p>
      <w:pPr/>
      <w:r>
        <w:rPr/>
        <w:t xml:space="preserve">Αυτή η επιλογή δεν είναι ουδέτερη. Εξισώνει την κινηματογραφική τέχνη με την τηλεοπτική παραγωγή και περιορίζει τους διαθέσιμους πόρους για την ενίσχυση μιας ανεξάρτητης ελληνικής κινηματογραφίας, που έχει ανάγκη από σταθερή και ουσιαστική δημόσια στήριξη ως μορφή τέχνης και πολιτιστικού αγαθού.</w:t>
      </w:r>
    </w:p>
    <w:p/>
    <w:p>
      <w:pPr/>
      <w:r>
        <w:rPr/>
        <w:t xml:space="preserve">Την ίδια στιγμή, το Σχέδιο Νόμου δεν αντιμετωπίζει το χρόνιο πρόβλημα της μη εφαρμογής της υποχρέωσης των ιδιωτικών τηλεοπτικών σταθμών να διαθέτουν το 1,5% των ετήσιων εσόδων τους για την παραγωγή ελληνικών κινηματογραφικών ταινιών, όπως προβλέπει η νομοθεσία. Αντί να διασφαλίζεται η εφαρμογή αυτής της υποχρέωσης, οι ιδιωτικοί τηλεοπτικοί σταθμοί συνεχίζουν να λαμβάνουν σημαντική κρατική χρηματοδότηση για τηλεοπτικές παραγωγές, ακόμη και για ψυχαγωγικές εκπομπές όπως Τηλεοπτικά Ριάλιτι και τηλεπαιχνίδια. Στην πράξη, δηλαδή, οι πολίτες καλούνται να χρηματοδοτούν τα προγράμματα των ιδιωτικών καναλιών, ενώ οι υποχρεώσεις των ίδιων των καναλιών απέναντι στον ελληνικό κινηματογράφο παραμένουν ανεκπλήρωτες.</w:t>
      </w:r>
    </w:p>
    <w:p/>
    <w:p>
      <w:pPr/>
      <w:r>
        <w:rPr/>
        <w:t xml:space="preserve">Σήμερα ο ελληνικός κινηματογράφος χρειάζεται ένα πραγματικά σύγχρονο νομοθετικό πλαίσιο. Ένα πλαίσιο που να είναι ευέλικτο, δημοκρατικό και αποτελεσματικό, να λειτουργεί με διαφάνεια και να εξασφαλίζει ότι οι δημόσιοι πόροι κατανέμονται δίκαια, χωρίς αποκλεισμούς, στηρίζοντας κάθε μορφή κινηματογραφικής δημιουργίας. Αντί γι' αυτό, το Σχέδιο Νόμου συγκεντρώνει υπερβολικές αρμοδιότητες σε λίγα πρόσωπα, και ιδιαίτερα στον Διευθύνοντα Σύμβουλο. Αυτή η υπερσυγκέντρωση εξουσίας περιορίζει τη διαφάνεια, αποδυναμώνει τον έλεγχο και δημιουργεί σοβαρά ερωτήματα για την ελευθερία της καλλιτεχνικής έκφρασης.</w:t>
      </w:r>
    </w:p>
    <w:p/>
    <w:p/>
    <w:p>
      <w:pPr/>
      <w:r>
        <w:rPr/>
        <w:t xml:space="preserve">Γίνεται επίσης σαφές ότι βασικός στόχος του νομοσχεδίου είναι η προσέλκυση ξένων οπτικοακουστικών παραγωγών, για τις οποίες προβλέπεται η διάθεση δεκάδων εκατομμυρίων ευρώ μέσω των κρατικών κινήτρων. Την ίδια ώρα, όμως, η ελληνική κινηματογραφική δημιουργία εξακολουθεί να υποχρηματοδοτείται και να μην αποτελεί προτεραιότητα της πολιτείας, όπως συμβαίνει εδώ και πολλά χρόνια.</w:t>
      </w:r>
    </w:p>
    <w:p/>
    <w:p/>
    <w:p>
      <w:pPr/>
      <w:r>
        <w:rPr/>
        <w:t xml:space="preserve">Ιδιαίτερα προβληματικές είναι και οι διατάξεις για το πρόγραμμα cash rebate. Δεν προβλέπεται καμία υποχρέωση των διεθνών παραγωγών που λαμβάνουν δημόσια χρηματοδότηση να συνεργάζονται με Έλληνες επαγγελματίες του κινηματογράφου ή να ενισχύουν ουσιαστικά την εγχώρια παραγωγή και τεχνογνωσία.</w:t>
      </w:r>
    </w:p>
    <w:p/>
    <w:p/>
    <w:p>
      <w:pPr/>
      <w:r>
        <w:rPr/>
        <w:t xml:space="preserve">Παράλληλα, πρέπει να προβλεφθεί ρητά ότι η κρατική χρηματοδότηση μπορεί να ανακαλείται όταν μια παραγωγή παραβιάζει την εργατική νομοθεσία ή τις συλλογικές συμβάσεις εργασίας. Η δημόσια χρηματοδότηση δεν μπορεί να στηρίζει επιχειρήσεις που παραβιάζουν τα δικαιώματα των εργαζομένων. Η αρχή πρέπει να είναι ξεκάθαρη: καμία δημόσια ενίσχυση χωρίς σεβασμό στην εργατική νομοθεσία και στις συλλογικές συμβάσεις εργασίας, σε πλήρη εναρμόνιση με τις ευρωπαϊκές κατευθύνσεις για την ενίσχυση των συλλογικών διαπραγματεύσεων, κατ εφαρμογή της ευρωπαϊκής οδηγίας που ορίζει ότι ο στόχος το επόμενο διάστημα είναι το 80% των εργαζομένων να αμείβονται με συλλογικές συμβάσεις εργασίας, καθώς επίσης και της εκστρατείας δημοσίων συμβάσεων του uni europa με τον ευρωπαίο επίτροπο για την εργασία, καμία δημόσια σύμβαση χωρίς συλλογική σύμβαση εργασίας. Εδώ να υπενθυμίσουμε ότι παλιότερα υπήρχε και η βεβαίωση καλών εργασιακών πρακτικών από την επιθεώρηση εργασίας μαζί με την υποβολή της πρότασης.</w:t>
      </w:r>
    </w:p>
    <w:p/>
    <w:p/>
    <w:p>
      <w:pPr/>
      <w:r>
        <w:rPr/>
        <w:t xml:space="preserve">Το ζήτημα αυτό είναι ιδιαίτερα σημαντικό, γιατί στον χώρο των γυρισμάτων καταγράφονται συχνά εξαντλητικά ωράρια που φτάνουν ακόμη και τις 14, 15 ή 17 ώρες εργασίας, απλήρωτες υπερωρίες, εργασία στο ρεπό. Παρότι έχουν γίνει επανειλημμένες καταγγελίες, οι έλεγχοι είναι ελάχιστοι. Για τον λόγο αυτό χρειάζεται να θεσπιστεί ένας ουσιαστικός μηχανισμός ελέγχου της τήρησης της εργατικής νομοθεσίας, καθώς και των κανόνων υγείας και ασφάλειας σε όλες τις παραγωγές. Οι κανόνες πρέπει να είναι ίδιοι για όλους και να εφαρμόζονται στην πράξη.</w:t>
      </w:r>
    </w:p>
    <w:p/>
    <w:p/>
    <w:p>
      <w:pPr/>
      <w:r>
        <w:rPr/>
        <w:t xml:space="preserve">Επιπλέον, όπως συνέβη και με τον Νόμο 5105/2024, το νομοσχέδιο αφήνει πολλά κρίσιμα ζητήματα να ρυθμιστούν αργότερα με Υπουργικές ή Κοινές Υπουργικές Αποφάσεις. Αυτό σημαίνει ότι βασικές διατάξεις του νόμου θα μπορούν να αλλάζουν χωρίς ουσιαστικό κοινοβουλευτικό έλεγχο, δημιουργώντας ανασφάλεια και έλλειψη διαφάνειας.</w:t>
      </w:r>
    </w:p>
    <w:p/>
    <w:p/>
    <w:p>
      <w:pPr/>
      <w:r>
        <w:rPr/>
        <w:t xml:space="preserve">Τέλος, υπάρχει ένα σοβαρό ζήτημα, με το προτεινόμενο σύστημα, η διοίκηση και ο ελεγκτικός μηχανισμός αλληλεξαρτώνται δημιουργώντας έτσι άλλον έναν πύρινα διάβρωσης της αξιοπιστίας της δημοσίας αποστολής του Οργανισμού σε φαινόμενα διαφθοράς. Με άλλα λόγια, ο ελεγχόμενος έχει τη δυνατότητα να επηρεάζει τον ελεγκτή του. Είναι αναγκαίο να υπάρξουν πραγματικές ασφαλιστικές δικλείδες ανεξαρτησίας και κοινωνικού ελέγχου, με τη συμμετοχή εκπροσώπων της κινηματογραφικής κοινότητας και των επαγγελματικών φορέων στις διαδικασίες εποπτείας.</w:t>
      </w:r>
    </w:p>
    <w:p/>
    <w:p/>
    <w:p>
      <w:pPr/>
      <w:r>
        <w:rPr/>
        <w:t xml:space="preserve">Συνολικά, το νομοσχέδιο με τα άρθρα 74-104, δίνει την εντύπωση ότι αποτελεί ένα προεκλογικό δώρο, ότι εξυπηρετεί κυρίως συγκεκριμένα επιχειρηματικά συμφέροντα, προσφέροντας νέες χρηματοδοτήσεις στα ιδιωτικά τηλεοπτικά κανάλια, αντί να διαμορφώνει μια ολοκληρωμένη πολιτική για την ανάπτυξη του ελληνικού κινηματογράφου και της οπτικοακουστικής παράγωγης.</w:t>
      </w:r>
    </w:p>
    <w:p/>
    <w:p>
      <w:pPr/>
      <w:r>
        <w:rPr/>
        <w:t xml:space="preserve">Για όλους αυτούς τους λόγους ζητούμε την απόσυρση από το νομοσχέδιο των άρθρων 74 έως 104 του νομοσχεδίου και την έναρξη ουσιαστικού θεσμικού διαλόγου με τους φορείς του κινηματογράφου, του πολιτισμού και των εργαζομένων, ώστε να διαμορφωθεί ένα σύγχρονο θεσμικό πλαίσιο που θα στηρίζει την καλλιτεχνική δημιουργία, θα προστατεύει την εργασία και θα ανταποκρίνεται στις πραγματικές ανάγκες του χώρου.</w:t>
      </w:r>
    </w:p>
    <w:p/>
    <w:p/>
    <w:p/>
    <w:p>
      <w:pPr/>
      <w:r>
        <w:rPr/>
        <w:t xml:space="preserve">2)	ΕΠΙ ΤΟΥ ΜΕΡΟΥΣ Ε΄ΤΟΥ ΝΟΜΟΣΧΕΔΙΟΥ -  ΛΟΙΠΕΣ ΔΙΑΤΑΞΕΙΣ ΑΡΜΟΔΙΟΤΗΤΑΣ ΤΟΥ ΥΠΟΥΡΓΕΙΟΥ ΠΟΛΙΤΙΣΜΟΥ (ΑΡΘΡΑ 105-127) ΕΧΟΥΜΕ ΝΑ ΕΠΙΣΗΜΑΝΟΥΜΕ ΤΑ ΚΑΤΩΤΕΡΩ:</w:t>
      </w:r>
    </w:p>
    <w:p/>
    <w:p/>
    <w:p>
      <w:pPr/>
      <w:r>
        <w:rPr/>
        <w:t xml:space="preserve">Α) ΕΠΙ ΤΟΥ ΑΡΘΡΟΥ 117 ΠΕΡΙ ΕΥΛΟΓΗΣ ΑΜΟΙΒΗΣ-ΤΡΟΠΟΠΟΙΗΣΗ ΠΑΡ.9 ΤΟΥ ΑΡΘΡΟΥ 18 Ν.212193.</w:t>
      </w:r>
    </w:p>
    <w:p/>
    <w:p/>
    <w:p>
      <w:pPr/>
      <w:r>
        <w:rPr/>
        <w:t xml:space="preserve">Με βάση τα προβλεπόμενα στο άρθρο αυτό, όταν στην ίδια κατηγορία ή υποκατηγορία δικαιούχων υπάρχουν περισσότεροι οργανισμοί συλλογικής διαχείρισης και τελικά δεν επιτυγχάνεται συμφωνία για τη μεταξύ τους κατανομή, τότε εκδίδεται σχετική απόφαση του ΟΠΙ διάρκειας τριών (3) ετών από την έκδοσή της που ρυθμίζει και διαμορφώνει τον τρόπο είσπραξης και καταβολής καθώς και κάθε άλλη λεπτομέρεια επί του θέματος. Οι οργανισμοί που δεν συμφωνούν με την απόφαση του ΟΠΙ μπορούν να προσφύγουν στη Δικαιοσύνη για τον καθορισμό άλλης κατανομής ανατρέποντας την απόφαση του ΟΠΙ. Η πρόβλεψη της τριετούς διάρκειας  της απόφασης του ΟΠΙ, εφόσον η απόφαση του ΟΠΙ δεν γίνεται αποδεκτή  από τα ενδιαφερόμενα μέρη, ουσιαστικά σε βάθος τριετίας θα δημιουργεί καθεστώς μεροληψίας υπέρ των οργανισμών που πιθανώς ευνοούνται από την απόφασή του έναντι των  οργανισμών που εκτιμούν ότι αδικούνται και συνεπώς θα βρίσκονται σε μειονεκτικότερη θέση σε κάθε περίπτωση προσφυγής στη Δικαιοσύνη. Θα πρέπει η απόφαση του ΟΠΙ να είναι διάρκειας ενός και μόνο έτους και ο ΟΠΙ, εάν δεν έχει επιλυθεί η διαφορά, να επανατοποθετείται με νέα απόφασή του το επόμενο έτος λαμβάνοντας υπόψιν κάθε νέο δεδομένο ή αλλαγή της υφιστάμενης κατάστασης.</w:t>
      </w:r>
    </w:p>
    <w:p/>
    <w:p/>
    <w:p/>
    <w:p>
      <w:pPr/>
      <w:r>
        <w:rPr/>
        <w:t xml:space="preserve">Β) ΕΠΙ ΤΟΥ ΑΡΘΡΟΥ 120 ΠΕΡΙ ΕΝΕΡΓΗΤΙΚΗΣ ΝΟΜΙΜΟΠΟΙΗΣΗΣ ΤΟΥ ΣΥΝΔΙΚΟΥ ΤΗΣ ΠΤΩΧΕΥΣΗΣ ΚΑΙ ΔΙΑΝΟΜΗ ΤΩΝ ΔΙΚΑΙΩΜΑΤΩΝ ΣΤΟΥΣ ΔΙΚΑΙΟΥΧΟΥΣ ΔΗΜΙΟΥΡΓΟΥΣ ΤΗΣ ΠΡΩΗΝ ΑΝΕΞΑΡΤΗΤΗΣ ΟΝΤΟΤΗΤΑΣ ΔΙΑΧΕΙΡΙΣΗΣ ΤΟΥ ΑΡΘΡΟΥ 50 ΤΟΥ Ν.4481/20217 ΜΕ ΤΗΝ ΕΠΩΝΥΜΙΑ «ΑΕΠΙ-ΕΛΛΗΝΙΚΗ ΕΤΑΙΡΙΑ ΠΡΟΣ ΠΡΟΣΤΑΣΙΑ ΤΗΣ ΠΝΕΥΜΑΤΙΚΗΣ ΙΔΙΟΚΤΗΣΙΑΣ  Α.Ε.»</w:t>
      </w:r>
    </w:p>
    <w:p/>
    <w:p/>
    <w:p/>
    <w:p>
      <w:pPr/>
      <w:r>
        <w:rPr/>
        <w:t xml:space="preserve">Με βάση τα προβλεπόμενα στο άρθρο αυτό και ειδικότερα στην παρ.4 ο σύνδικος της πτώχευσης θα διανείμει και θα αποδώσει στους δικαιούχους δημιουργούς τα ποσά που δικαιούνται με βάση τον κανονισμό διανομής της πρώην Α.Ο.Δ. (ΑΕΠΙ) όπως ίσχυε κατά το χρόνο ανάκλησης της αδείας της.</w:t>
      </w:r>
    </w:p>
    <w:p/>
    <w:p>
      <w:pPr/>
      <w:r>
        <w:rPr/>
        <w:t xml:space="preserve">Ερωτούμε: Είναι δυνατόν να γίνει η διανομή με βάση τον κανονισμό μιας εταιρίας που καταγγέλθηκε και της οποίας  αφαιρέθηκε η άδεια για σωρεία παρανομιών και παραβάσεων;  </w:t>
      </w:r>
    </w:p>
    <w:p/>
    <w:p/>
    <w:p>
      <w:pPr/>
      <w:r>
        <w:rPr/>
        <w:t xml:space="preserve">Θα πρέπει η διανομή να γίνει εφαρμόζοντας επακριβώς τον Νόμο ανάλογα με την προκύπτουσα  χρήση λαμβάνοντας υπόψιν το φυσικό, ψηφιοποιημένο και ψηφιακό αρχείο τεκμηρίωσης και έργων των δικαιούχων ή, σε εναλλακτική περίπτωση, με τον κανονισμό διανομής της διαδόχου κατάστασης ΕΥΕΔ (Ειδική Υπηρεσία Έκτακτης Διαχείρισης).</w:t>
      </w:r>
    </w:p>
    <w:p/>
    <w:p/>
    <w:p>
      <w:pPr/>
      <w:r>
        <w:rPr/>
        <w:t xml:space="preserve">Τίθεται εύλογα το ερώτημα, δεδομένου ότι στον παρόντα χρόνο οι δικαιούχοι έχοντας ενεργές συμβάσεις με άλλους Ο.Σ.Δ. για την είσπραξη των δικαιωμάτων τους, εάν τα προς είσπραξη δικαιώματά τους θα αποδοθούν απευθείας στους ίδιους ή στους Ο.Σ.Δ τους οποίους τους εκπροσωπούν τώρα. Στην περίπτωση που αποδοθούν στους Ο.Σ.Δ. που τους εκπροσωπούν τώρα και οι οποίοι θα πρέπει να αποδώσουν τελικά τα δικαιώματα στους δικαιούχους, θα πρέπει να ληφθεί μέριμνα ούτως ώστε να μην γίνουν κρατήσεις εκ νέου από τους ΟΣΔ που οι δικαιούχοι στον παρόντα χρόνο είναι μέλη, αφού ήδη αρχικά θα έχουν γίνει κρατήσεις προμήθειας και διαχειριστικών εξόδων από το σύνδικο της πτώχευσης υπέρ της πτωχευτικής περιουσίας.</w:t>
      </w:r>
    </w:p>
    <w:p/>
    <w:p/>
    <w:p>
      <w:pPr/>
      <w:r>
        <w:rPr/>
        <w:t xml:space="preserve">Επίσης, τίθεται το ερώτημα εάν υφίστανται διαπιστωμένες προκαταβολές του πρώην Α.Ο.Δ. (ΑΕΠΙ) προς δικαιούχους και εάν αυτές θα ληφθούν υπόψιν στα τελικά ποσά που θα αποδοθούν ως χρηματικό αποτέλεσμα προς αυτούς.</w:t>
      </w:r>
    </w:p>
    <w:p/>
    <w:p/>
    <w:p/>
    <w:p>
      <w:pPr/>
      <w:r>
        <w:rPr/>
        <w:t xml:space="preserve">3)	ΕΠΙ ΤΟΥ ΑΡΘΡΟΥ 122 ΠΕΡΙ ΤΟΥ ΜΗΤΡΩΟΥ ΑΠΑΣΧΟΛΟΥΜΕΝΩΝ ΣΤΟΝ ΠΟΛΙΤΙΣΜΟ – ΤΡΟΠΟΠΟΙΗΣΗ ΑΡΘΡΩΝ 108 ΚΑΙ 109 Ν.5039/2023.</w:t>
      </w:r>
    </w:p>
    <w:p/>
    <w:p/>
    <w:p>
      <w:pPr/>
      <w:r>
        <w:rPr/>
        <w:t xml:space="preserve">Τόσο στον αρχικό Νόμο 5039/2023 αλλά και στα προβλεπόμενα στο παρόν Νομοσχέδιο στο άρθρο 108 παρ.4.(ε) και 109 παρ3.(ε) για τη λειτουργία του Μητρώου Απασχολουμένων στον Πολιτισμό (Μ.Α.Π.), αναφέρεται και καταγραφή εισοδημάτων από άσκηση επιχειρηματικής δραστηριότητας. Όπως πολύ καλά γνωρίζετε και επανειλημμένα έχουμε αναφερθεί σε σχετικές επιστολές μας και δια ζώσης συναντήσεις μας σε όλα τα συναρμόδια Υπουργεία, οι εργαζόμενοι στο Θέαμα -Ακρόαμα που έχουν τιμολόγιο παροχής υπηρεσιών είναι μισθωτοί και επί του τιμολογίου που εκδίδουν επικολλάται ΕΦΚΑ Μισθωτών Υπηρεσιών (πρώην ΙΚΑ). Σε καμία περίπτωση δεν ασκούμε επιχειρηματική δραστηριότητα. Σε καμία περίπτωση τους εργαζόμενους του κλάδου μας δεν θα πρέπει να τους αφορούν οι συγκεκριμένες προβλέψεις και σε καμία περίπτωση δεν θα πρέπει να γίνει καταγραφή εισοδημάτων από τιμολόγια παροχής υπηρεσιών των εργαζομένων στο Θέαμα-Ακρόαμα αφού ως μισθωτοί ασφαλιζόμαστε στον ΕΦΚΑ (ΜΙΣΘΩΤΩΝ ΥΠΗΡΕΣΙΩΝ). Οι υποτροπές αυτής της μορφής έχουν οδηγήσει σε μεγάλα προβλήματα τον κλάδο μας σε ό,τι αφορά την είσπραξη του Ειδικού Εποχικού Επιδόματος και του Επιδόματος Ανεργίας, που παρά τις όποιες υποσχέσεις έχουμε λάβει για αντιμετώπισή τους, συνεχίζουν να ταλαιπωρούν τα μέλη μας.</w:t>
      </w:r>
    </w:p>
    <w:p/>
    <w:p>
      <w:pPr/>
      <w:r>
        <w:rPr/>
        <w:t xml:space="preserve">Επίσης διερωτώμεθα εάν αυτές οι προβλέψεις προοιωνίζουν τη λειτουργία και ένταξη στο Μητρώο Απασχολουμένων στον Πολιτισμό και εμπορικών επιχειρήσεων που σε καμία περίπτωση δεν θα πρέπει να συμπεριληφθούν σε αυτό. Στο Μ.Α.Π. πρέπει να εγγράφονται μόνο τα πρόσωπα με την ιδιότητα του εργαζομένου.</w:t>
      </w:r>
    </w:p>
    <w:p/>
    <w:p/>
    <w:p>
      <w:pPr/>
      <w:r>
        <w:rPr/>
        <w:t xml:space="preserve">Για όλους αυτούς τους λόγους ζητούμε την απόσυρση από το νομοσχέδιο των άρθρων 107, 120 και 122 του νομοσχεδίου και την έναρξη και σε αυτές τις περιπτώσεις ουσιαστικού θεσμικού διαλόγου με τους φορείς των καλλιτεχνών και εργαζομένων στην τέχνη και τον πολιτισμό, ώστε να διαμορφωθεί ένα σύγχρονο θεσμικό πλαίσιο που θα στηρίζει την καλλιτεχνική δημιουργία, θα προστατεύει την εργασία, το πνευματικό - συγγενικό δικαίωμα και θα ανταποκρίνεται στις πραγματικές ανάγκες των εργαζομένων στον σύγχρονο πολιτισμό.</w:t>
      </w:r>
    </w:p>
    <w:p/>
    <w:p>
      <w:pPr/>
      <w:r>
        <w:rPr>
          <w:b w:val="1"/>
          <w:bCs w:val="1"/>
        </w:rPr>
        <w:t xml:space="preserve">ΕΝΩΣΗ ΤΕΧΝΙΚΩΝ ΕΛΛΗΝΙΚΟΥ ΚΙΝΗΜΑΤΟΓΡΑΦΟΥ &amp; ΤΗΛΕΟΡΑΣΗΣ ΟΠΤΙΚΟΑΚΟΥΣΤΙΚΟΣ ΤΟΜΕΑΣ – 18 Ιουλίου 2026, 21:45</w:t>
      </w:r>
    </w:p>
    <w:p>
      <w:pPr/>
      <w:r>
        <w:rPr/>
        <w:t xml:space="preserve">για τα άρθρα 74 μέχρι το 104</w:t>
      </w:r>
    </w:p>
    <w:p/>
    <w:p/>
    <w:p>
      <w:pPr/>
      <w:r>
        <w:rPr/>
        <w:t xml:space="preserve">ΕΝΩΣΗ ΤΕΧΝΙΚΩΝ ΕΛΛΗΝΙΚΟΥ ΚΙΝΗΜΑΤΟΓΡΑΦΟΥ &amp; ΤΗΛΕΟΡΑΣΗΣ (ΕΤΕΚΤ-ΟΤ)</w:t>
      </w:r>
    </w:p>
    <w:p/>
    <w:p/>
    <w:p>
      <w:pPr/>
      <w:r>
        <w:rPr/>
        <w:t xml:space="preserve">Θέμα: Υπόμνημα Θέσεων της ΕΤΕΚΤ-ΟΤ επί του Σχεδίου Νόμου για την ενίσχυση της οπτικοακουστικής παραγωγής</w:t>
      </w:r>
    </w:p>
    <w:p/>
    <w:p/>
    <w:p>
      <w:pPr/>
      <w:r>
        <w:rPr/>
        <w:t xml:space="preserve">Η Ένωση Τεχνικών Ελληνικού Κινηματογράφου &amp; Τηλεόρασης (ΕΤΕΚΤ-ΟΤ), εκπροσωπώντας τους επαγγελματίες του κλάδου που αποτελούν τη ραχοκοκαλιά της ελληνικής παραγωγής, καταθέτει τις παρακάτω καίριες παρατηρήσεις επί του υπό διαβούλευση νομοσχεδίου.</w:t>
      </w:r>
    </w:p>
    <w:p/>
    <w:p/>
    <w:p>
      <w:pPr/>
      <w:r>
        <w:rPr/>
        <w:t xml:space="preserve">Το τρέχον μοντέλο ενίσχυσης του Ε.Κ.Κ.Ο.ΜΕ.Δ. επικεντρώνεται αποκλειστικά σε μια «λογιστική διεκπεραίωση», παραγνωρίζοντας ότι η ποιότητα του τελικού προϊόντος είναι άρρηκτα συνδεδεμένη με τις συνθήκες εργασίας και την επαγγελματική επάρκεια των συντελεστών.</w:t>
      </w:r>
    </w:p>
    <w:p/>
    <w:p/>
    <w:p>
      <w:pPr/>
      <w:r>
        <w:rPr/>
        <w:t xml:space="preserve">1. Η «Επιστροφή στη Μετριότητα»: Η εκ νέου επιδότηση φθηνών προγραμμάτων Με ιδιαίτερη ανησυχία διαπιστώνουμε ότι το νέο νομοθετικό πλαίσιο, αντί να προχωρήσει στον εκσυγχρονισμό και την ποιοτική αναβάθμιση του κλάδου, επιλέγει την «επιστροφή στο παρελθόν». Η επαναφορά –μέσω γενικόλογων διατυπώσεων– παραγωγών τύπου reality show και τηλεπαιχνιδιών χαμηλού προϋπολογισμού στα χρηματοδοτούμενα προγράμματα, συνιστά κατάφωρη παραβίαση της λογικής του δημόσιου και ευρωπαϊκού χρήματος. Είναι αδιανόητο, τη στιγμή που η χρηματοδότηση αποσκοπεί στην ανάπτυξη υψηλών προδιαγραφών παραγωγής και στην προστασία της εργασίας, το ελληνικό κράτος να επιλέγει να επιδοτεί «φθηνά» προγράμματα που δεν παράγουν πολιτιστικό κεφάλαιο, αλλά εξυπηρετούν αποκλειστικά τις εμπορικές ανάγκες των τηλεοπτικών σταθμών. Η ΕΤΕΚΤ-ΟΤ καταγγέλλει αυτή την οπισθοδρομική τάση, η οποία μετατρέπει το ΕΚΟΜΕΔ σε μηχανισμό στήριξης της «εύκολης» και «γρήγορης» τηλεοπτικής κατανάλωσης.</w:t>
      </w:r>
    </w:p>
    <w:p/>
    <w:p/>
    <w:p>
      <w:pPr/>
      <w:r>
        <w:rPr/>
        <w:t xml:space="preserve">2. Ευρωπαϊκή Συμμόρφωση και Κοινωνική Διάσταση Η χρήση ευρωπαϊκών πόρων οφείλει να ευθυγραμμίζεται με το ευρωπαϊκό κεκτημένο περί κοινωνικής προστασίας. Η συστηματική παράκαμψη των Συλλογικών Συμβάσεων Εργασίας (ΣΣΕ) κατά την εκταμίευση των ενισχύσεων εκθέτει τη χώρα, καθώς η Ε.Ε. θέτει ως προτεραιότητα τον κοινωνικό διάλογο και τη δίκαιη εργασία. Προτείνουμε η τήρηση των ΣΣΕ να αποτελεί απαράβατο προαπαιτούμενο για την πρόσβαση σε οποιαδήποτε χρηματοδότηση, διασφαλίζοντας ότι το ευρωπαϊκό χρήμα θωρακίζει και δεν υπονομεύει τα εργασιακά δικαιώματα.</w:t>
      </w:r>
    </w:p>
    <w:p/>
    <w:p/>
    <w:p>
      <w:pPr/>
      <w:r>
        <w:rPr/>
        <w:t xml:space="preserve">3. Θεσμοθέτηση Υποχρεωτικού Μητρώου Επαγγελματιών Η απουσία υποχρεωτικότητας του Μητρώου Καλλιτεχνών και Τεχνικών δημιουργεί συνθήκες αδιαφάνειας και υποβαθμίζει την επαγγελματική ταυτότητα του κλάδου. Προτείνουμε το Μητρώο να καταστεί υποχρεωτικό για όλες τις επιδοτούμενες παραγωγές. Είναι αδιανόητο να διατίθενται δημόσιοι και ευρωπαϊκοί πόροι χωρίς τη διασφάλιση ότι το έργο παράγεται από πιστοποιημένους επαγγελματίες, αποτρέποντας τη χρήση προσωπικού χαμηλής ειδίκευσης που αλλοιώνει το αποτέλεσμα.</w:t>
      </w:r>
    </w:p>
    <w:p/>
    <w:p/>
    <w:p>
      <w:pPr/>
      <w:r>
        <w:rPr/>
        <w:t xml:space="preserve">4. Εισαγωγή Ποιοτικών Κριτηρίων (Quality Control) Προτείνουμε τη θέσπιση ενός πλαισίου ποιοτικής αξιολόγησης βάσει διεθνών προτύπων. Η επιδότηση δεν μπορεί να λειτουργεί ως «λευκή επιταγή» για έργα χαμηλού κόστους και ελάχιστων τεχνικών προδιαγραφών.</w:t>
      </w:r>
    </w:p>
    <w:p/>
    <w:p/>
    <w:p>
      <w:pPr/>
      <w:r>
        <w:rPr/>
        <w:t xml:space="preserve">Κατακλείδα Η ΕΤΕΚΤ-ΟΤ ζητά την άμεση αναθεώρηση των διατάξεων. Το γεγονός ότι διατίθενται κρατικοί και ευρωπαϊκοί πόροι επιβάλλει αυστηρότατο έλεγχο ως προς το πού και γιατί δίνονται αυτά τα χρήματα. Η ενίσχυση οφείλει να εγγυάται:</w:t>
      </w:r>
    </w:p>
    <w:p/>
    <w:p/>
    <w:p>
      <w:pPr/>
      <w:r>
        <w:rPr/>
        <w:t xml:space="preserve">Τον σεβασμό στα εργασιακά δικαιώματα (ΣΣΕ) και την ευρωπαϊκή κοινωνική διάσταση.</w:t>
      </w:r>
    </w:p>
    <w:p/>
    <w:p>
      <w:pPr/>
      <w:r>
        <w:rPr/>
        <w:t xml:space="preserve">Τη διαφάνεια στη στελέχωση (Υποχρεωτικό Μητρώο).</w:t>
      </w:r>
    </w:p>
    <w:p/>
    <w:p>
      <w:pPr/>
      <w:r>
        <w:rPr/>
        <w:t xml:space="preserve">Την πραγματική ποιότητα και την τεχνική υπεροχή, αποτρέποντας τη διασπάθιση δημόσιου χρήματος σε παραγωγές που δεν προσφέρουν καμία πολιτιστική αξία.</w:t>
      </w:r>
    </w:p>
    <w:p/>
    <w:p>
      <w:pPr/>
      <w:r>
        <w:rPr/>
        <w:t xml:space="preserve">Παραμένουμε στη διάθεση των αρμόδιων φορέων για την αναλυτική παρουσίαση των προτάσεών μας.</w:t>
      </w:r>
    </w:p>
    <w:p/>
    <w:p/>
    <w:p>
      <w:pPr/>
      <w:r>
        <w:rPr/>
        <w:t xml:space="preserve">Με εκτίμηση, Το Διοικητικό Συμβούλιο της ΕΤΕΚΤ-ΟΤ</w:t>
      </w:r>
    </w:p>
    <w:p/>
    <w:p>
      <w:pPr/>
      <w:r>
        <w:rPr>
          <w:b w:val="1"/>
          <w:bCs w:val="1"/>
        </w:rPr>
        <w:t xml:space="preserve">ΖΑΧΑΡΙΑΣ ΣΑΜΟΛΑΔΑΣ – 19 Ιουλίου 2026, 13:47</w:t>
      </w:r>
    </w:p>
    <w:p>
      <w:pPr/>
      <w:r>
        <w:rPr/>
        <w:t xml:space="preserve">Δεν βλέπουμε να γίνεται κάποια συγκεκριμένη αναφορά στην ανάδειξη και υποστήριξη διάσωσης των Οπτικοακουστικών αρχείων, αν και στο παρελθόν υπήρχε σχετική πρόβλεψη. Η διάσωση των Οπτικοακουστικών αρχείων αφορά την προστασία, ανάδειξη και διάσωση του πολιτιστικού αποθέματος της Ελλάδας, την διατήρηση της ιστορικής, πολιτιστικής, αρχιτεκτονικής, λαογραφικής κληρονομιάς, αποτυπώνοντας σε μαγνητικό μέσο ή κινηματογραφικό φιλμ όλων των διαμετρημάτων. Με τη δημιουργία του ΕΚΟΜΜΕΔ ακόμη και προγραμματικές συμβάσεις που είναι ακόμη ενεργές είναι μετέωρες ενώ φορείς προσπαθούν με ίδια (και ελάχιστα μέσα και πόρους) να διασώσουν ότι μπορούν, ενώ η ψηφιοποίηση από φορείς άλλων υπουργείων συνεχίζει κανονικά. Είναι λυπηρό να μην υπάρχει αναφορά σε κάποιο πρόγραμμα ή σχέδιο για την ψηφιοποίηση της πολιτιστικής κληρονομιάς ενώ υπάρχει πρόβλεψη να ενισχυθούν ακόμη και τηλεπαιχνίδια.</w:t>
      </w:r>
    </w:p>
    <w:p/>
    <w:p>
      <w:pPr/>
      <w:r>
        <w:rPr>
          <w:b w:val="1"/>
          <w:bCs w:val="1"/>
        </w:rPr>
        <w:t xml:space="preserve">ΠΡΩΤΟΒΟΥΛΙΑ ΣΙΝΕΜΑ ΣΤΗΝ ΕΛΛΑΔΑ – ΟΡΑΤΟΤΗΣ ΜΗΔΕΝ – 19 Ιουλίου 2026, 15:03</w:t>
      </w:r>
    </w:p>
    <w:p>
      <w:pPr/>
      <w:r>
        <w:rPr/>
        <w:t xml:space="preserve">Στα θετικά του Μέρους Δ´ του σχεδίου νόμου, ΡΥΘΜΙΣΕΙΣ ΓΙΑ ΤΗΝ ΕΦΑΡΜΟΓΗ ΤΟΥ ΕΘΝΙΚΟΥ ΣΧΕΔΙΟΥ ΔΡΑΣΗΣ ΓΙΑ ΤΗΝ ΑΝΑΠΤΥΞΗ ΤΟΥ ΟΠΤΙΚΟΑΚΟΥΣΤΙΚΟΥ ΔΗΜΙΟΥΡΓΙΚΟΥ ΤΟΜΕΑ (Άρθρα 74-104), σημειώνεται ο 5ετής προγραμματισμός χρηματοδότησης του cash rebate από το Εθνικό Πρόγραμμα Ανάπτυξης (Ε.Π.Α.), αλλά με ένα κρίσιμο ερώτημα που αφορά τον καταμερισμό των διαθέσιμων πόρων ανάμεσα στις 4 νέες δράσεις, όπως αυτές περιγράφονται στο σχέδιο νόμου:</w:t>
      </w:r>
    </w:p>
    <w:p/>
    <w:p/>
    <w:p>
      <w:pPr/>
      <w:r>
        <w:rPr/>
        <w:t xml:space="preserve">(A1) FILM GREECE,</w:t>
      </w:r>
    </w:p>
    <w:p/>
    <w:p>
      <w:pPr/>
      <w:r>
        <w:rPr/>
        <w:t xml:space="preserve">(A2) ΤV GREECE,</w:t>
      </w:r>
    </w:p>
    <w:p/>
    <w:p>
      <w:pPr/>
      <w:r>
        <w:rPr/>
        <w:t xml:space="preserve">(B1) Video Game Development-VGD,</w:t>
      </w:r>
    </w:p>
    <w:p/>
    <w:p>
      <w:pPr/>
      <w:r>
        <w:rPr/>
        <w:t xml:space="preserve">και (Β2) Alter Realities</w:t>
      </w:r>
    </w:p>
    <w:p/>
    <w:p/>
    <w:p>
      <w:pPr/>
      <w:r>
        <w:rPr/>
        <w:t xml:space="preserve">Το παραπάνω ερώτημα δυστυχώς δεν απαντιέται με σαφήνεια από τις μεταβατικές διατάξεις του σχεδίου νόμου.  </w:t>
      </w:r>
    </w:p>
    <w:p/>
    <w:p/>
    <w:p>
      <w:pPr/>
      <w:r>
        <w:rPr/>
        <w:t xml:space="preserve">Επιπλέον, το ερώτημα αυτό αποκτά ιδιαίτερη σημασία μια και μέσω της νεοσύστατης δράσης (A2) ΤV GREECE, εκτός από τις ελληνικές τηλεοπτικές σειρές, για πρώτη φορά στο cash rebate, εντάσσονται και τα τηλεπαιχνίδια και οι εκπομπές ανάδειξης ταλέντων και τα ριάλιτι (όλα σε παραγωγή ελληνικών αδειοδοτημένων παρόχων).</w:t>
      </w:r>
    </w:p>
    <w:p/>
    <w:p/>
    <w:p>
      <w:pPr/>
      <w:r>
        <w:rPr/>
        <w:t xml:space="preserve">Παράλληλα, στη δράση (A1) FILM GREECE δε θα εντάσσονται μόνο οι κινηματογραφικές ταινίες (ελληνικές και αλλοδαπές), αλλά και όλες οι τηλεοπτικές αλλοδαπές παραγωγές. Επιπλέον στη δράση  (A1) FILM GREECE θα εντάσσονται και οι ελληνικές τηλεοπτικές παραγωγές που δεν έχουν παραγωγό κάποιον αδειοδοτημένο πάροχο (είτε απευθείας, είτε μέσω εκτελεστή παραγωγού), αλλά έχουν ανεξάρτητο παραγωγό.</w:t>
      </w:r>
    </w:p>
    <w:p/>
    <w:p/>
    <w:p>
      <w:pPr/>
      <w:r>
        <w:rPr/>
        <w:t xml:space="preserve">Επίσης, το σχέδιο νόμου έχει εξαιρετικά εκτενή αναφορά στα επιλεκτικά προγράμματα χρηματοδοτικής στήριξης του Ελληνικού κινηματογράφου (βλ. Κεφάλαιο Γ').</w:t>
      </w:r>
    </w:p>
    <w:p/>
    <w:p/>
    <w:p>
      <w:pPr/>
      <w:r>
        <w:rPr/>
        <w:t xml:space="preserve">Εδώ προκύπτουν δύο θέματα:</w:t>
      </w:r>
    </w:p>
    <w:p/>
    <w:p/>
    <w:p>
      <w:pPr/>
      <w:r>
        <w:rPr/>
        <w:t xml:space="preserve">1) Τα περισσότερα από τα άρθρα του Κεφαλαίου αφορούν ζητήματα που έως τώρα καθορίζονταν από το χρηματοδοτικό κανονισμό του οργανισμού (όπως συνηθίζεται σε όλους τους αντίστοιχους παγκόσμιους οργανισμούς), και δεν δύναται να αποτελούν άρθρα ενός νόμου (για παράδειγμα, το χρονικό διάστημα που μεσολαβεί από την προέγκριση στην υπογραφή της σύμβασης και, ο ορισμός των δόσεων της χρηματοδότησης, κ.α.).</w:t>
      </w:r>
    </w:p>
    <w:p/>
    <w:p/>
    <w:p>
      <w:pPr/>
      <w:r>
        <w:rPr/>
        <w:t xml:space="preserve">Όπως είναι ευνόητο, οι χρηματοδοτικοί κανονισμοί των Εθνικών Κέντρων Κινηματογράφου δοκιμάζονται στην πράξη και ανανεώνονται τακτικά, μια και είναι άμεσα εξαρτώμενοι από τις ολοένα και πιο ταχείς εξελίξεις του παγκόσμιου οπτικοακουστικού τομέα. Η ένταξη αυτών των ζητημάτων σε ένα νόμο, που προφανώς και δεν μπορεί να τροποποιείται σε τακτά διαστήματα, μόνο αγκυλώσεις και εμπόδια μπορεί να επιφέρει στην ανάπτυξη του τομέα.</w:t>
      </w:r>
    </w:p>
    <w:p/>
    <w:p/>
    <w:p>
      <w:pPr/>
      <w:r>
        <w:rPr/>
        <w:t xml:space="preserve">2) Το συγκεκριμένο Κεφάλαιο εγκαινιάζει τη δυνατότητα ανάκλησης της προέγκρισης ή και της σύμβασης χρηματοδότησης για λόγους προστασίας του δημόσιου συμφέροντος (άρθρο 84). Αυτή η νέα δυνατότητα συνδυαζόμενη με τη σύσταση πενταμελούς Κεντρικής Επιτροπής Αξιολόγησης και Επιλογής (άρθρο 85), που στην πλειοψηφία τους (άμεσα ή έμμεσα) τα μέλη της θα σχετίζονται με το Υπουργείο Πολιτισμού, δημιουργεί ερωτήματα για την πιθανή πρόθεση μεροληπτικής κρατικής παρέμβασης στο έργο του Οργανισμού, και σε κάποιες περιπτώσεις ελέγχου του περιεχομένου, πρόθεση που δεν ταιριάζει σε ένα σύγχρονο Ευρωπαϊκό κράτος.</w:t>
      </w:r>
    </w:p>
    <w:p/>
    <w:p/>
    <w:p>
      <w:pPr/>
      <w:r>
        <w:rPr/>
        <w:t xml:space="preserve">Για όλους τους παραπάνω λόγους, θεωρούμε πως η συνολική απόσυρση από το σχέδιο νόμου του Κεφαλαίου Γ´ (που αφορά τα επιλεκτικά προγράμματα χρηματοδοτικής στήριξης του Ελληνικού κινηματογράφου), κρίνεται απαραίτητη.</w:t>
      </w:r>
    </w:p>
    <w:p/>
    <w:p/>
    <w:p>
      <w:pPr/>
      <w:r>
        <w:rPr/>
        <w:t xml:space="preserve">Ο σχεδιασμός του νέου κανονισμού χρηματοδότησης του ΕΚΚΟΜΕΔ οφείλει να είναι ένα εξειδικευμένο έργο που δεν αφορά τη νομοθεσία. Για τη σύνταξη του άλλωστε προηγήθηκε διαβούλευση με τους επαγγελματίες και τους κινηματογραφικούς θεσμούς. Θεωρούμε πως η σύμπλευση με τις ανάγκες και τις προτάσεις των επαγγελματιών είναι απαραίτητη για μια υγιή εθνική κινηματογραφία που η χρηματοδότηση της θα συμβαδίζει με τις διεθνείς καλές πρακτικές.</w:t>
      </w:r>
    </w:p>
    <w:p/>
    <w:p>
      <w:pPr/>
      <w:r>
        <w:rPr>
          <w:b w:val="1"/>
          <w:bCs w:val="1"/>
        </w:rPr>
        <w:t xml:space="preserve">ΣΤΕΡΓΙΟΣ ΜΗΤΑΣ – 19 Ιουλίου 2026, 17:30</w:t>
      </w:r>
    </w:p>
    <w:p>
      <w:pPr/>
      <w:r>
        <w:rPr/>
        <w:t xml:space="preserve">Θεσμική Παρέμβαση  της Παράταξης «Συνέχεια με προοπτική» στο Δ.Σ. της Εταιρείας Ελλήνων Σκηνοθετών (ΕΕΣ)</w:t>
      </w:r>
    </w:p>
    <w:p/>
    <w:p/>
    <w:p>
      <w:pPr/>
      <w:r>
        <w:rPr/>
        <w:t xml:space="preserve">Θέμα: Υπόμνημα θέσεων και παρατηρήσεων επί του Μέρους Δ΄ (Άρθρα 74-104) για τον Οπτικοακουστικό Τομέα.</w:t>
      </w:r>
    </w:p>
    <w:p/>
    <w:p/>
    <w:p>
      <w:pPr/>
      <w:r>
        <w:rPr/>
        <w:t xml:space="preserve">Το υπό διαβούλευση σχέδιο νόμου αντιμετωπίζει την κινηματογραφική τέχνη αποκλειστικά ως επενδυτικό προϊόν, υποβαθμίζοντας την Ελλάδα σε ένα επιδοτούμενο σκηνικό ("location") για ξένα studios, ενώ οδηγεί σε θεσμική και οικονομική απαξίωση την εθνική μας κινηματογραφία και τον Έλληνα δημιουργό.</w:t>
      </w:r>
    </w:p>
    <w:p/>
    <w:p>
      <w:pPr/>
      <w:r>
        <w:rPr/>
        <w:t xml:space="preserve"> Καταθέτουμε τις εξής συγκεκριμένες, άμεσες προτάσεις:</w:t>
      </w:r>
    </w:p>
    <w:p/>
    <w:p/>
    <w:p>
      <w:pPr/>
      <w:r>
        <w:rPr/>
        <w:t xml:space="preserve">1. Επί του Άρθρου 85 (Κεντρική Επιτροπή Αξιολόγησης): Είναι απαράδεκτο η 5μελής επιτροπή που κρίνει την καλλιτεχνική αξία των ελληνικών ταινιών να ελέγχεται από μια τεχνοκρατική και διοικητική πλειοψηφία (3 στα 5 μέλη από τη διοίκηση του ΕΚΚΟΜΕΔ και το Υπουργείο). Προτείνουμε τη διεύρυνση της Επιτροπής σε 7μελή, με την υποχρεωτική, θεσμική συμμετοχή εκπροσώπου της Εταιρείας Ελλήνων Σκηνοθετών (ΕΕΣ) και της Ένωσης Σεναριογράφων Ελλάδος.</w:t>
      </w:r>
    </w:p>
    <w:p/>
    <w:p/>
    <w:p>
      <w:pPr/>
      <w:r>
        <w:rPr/>
        <w:t xml:space="preserve">2. Επί του Άρθρου 78 (παρ. 7 &amp; 12): Καταγγέλλουμε τη θεσμοθέτηση της χρηματοδότησης reality shows, τηλεπαιχνιδιών και lifestyle εκπομπών των ιδιωτικών καναλιών μέσω των πόρων του Cash Rebate. Ζητούμε την πλήρη και ρητή εξαίρεση αυτών των τηλεοπτικών υποπροϊόντων από τις κρατικές ενισχύσεις. Τα χρήματα του πολιτισμού ανήκουν στην τέχνη, όχι στην trash TV.</w:t>
      </w:r>
    </w:p>
    <w:p/>
    <w:p/>
    <w:p>
      <w:pPr/>
      <w:r>
        <w:rPr/>
        <w:t xml:space="preserve">3. Επί των Άρθρων 74, 78 &amp; 83 (Οικονομική Ανισότητα): Την ώρα που ο συνολικός ετήσιος προϋπολογισμός για όλες τις ελληνικές ταινίες είναι μόλις 15 εκατομμύρια ευρώ (φέρνοντας την Ελλάδα στην τελευταία θέση της Ευρώπης σε ύψος κρατικής επιχορήγησης), ορίζεται προκλητικά ότι μία και μόνο ξένη παραγωγή μπορεί να απορροφήσει έως και 10 εκατομμύρια ευρώ. Απαιτούμε τη θεσμοθέτηση δεσμευτικού, σταθερού ποσοστού επί των συνολικών ετήσιων πόρων του ΕΚΚΟΜΕΔ, το οποίο θα κατευθύνεται αποκλειστικά στο Επιλεκτικό Πρόγραμμα για την εγχώρια παραγωγή.</w:t>
      </w:r>
    </w:p>
    <w:p/>
    <w:p/>
    <w:p>
      <w:pPr/>
      <w:r>
        <w:rPr/>
        <w:t xml:space="preserve">4. Επί του Άρθρου 78 (παρ. 2 - Δημιουργικό Κόστος): Ο περιορισμός του βασικού δημιουργικού κόστους (αμοιβές σκηνοθέτη/σεναριογράφου) στο 30% υποβαθμίζει την πνευματική εργασία. Προτείνουμε το όριο να αυξηθεί στο 40% ειδικά για τα «δύσκολα οπτικοακουστικά έργα» (ταινίες μικρού μήκους, ντοκιμαντέρ, πρώτη/δεύτερη ταινία δημιουργού), ώστε να διασφαλίζονται αξιοπρεπείς αμοιβές.</w:t>
      </w:r>
    </w:p>
    <w:p/>
    <w:p/>
    <w:p>
      <w:pPr/>
      <w:r>
        <w:rPr/>
        <w:t xml:space="preserve">5. Επί του Άρθρου 84 (παρ. 8 - Ανάκληση Χρηματοδοτήσεων): Η αόριστη αναφορά σε ανάκληση χρηματοδότησης «για λόγους προστασίας του δημόσιου συμφέροντος» εισάγει επικίνδυνες γκρίζες ζώνες που μπορούν να χρησιμοποιηθούν ως εργαλείο λογοκρισίας. Ζητούμε την πλήρη απάλειψη της φράσης αυτής.</w:t>
      </w:r>
    </w:p>
    <w:p/>
    <w:p/>
    <w:p>
      <w:pPr/>
      <w:r>
        <w:rPr/>
        <w:t xml:space="preserve">6. Επί του Άρθρου 84 (παρ. 4 &amp; 5 - Προθεσμίες): Οι άκαμπτες προθεσμίες (2 έτη για οριστικοποίηση φακέλου, 3 έτη για ολοκλήρωση ταινίας) αγνοούν τις δυσκολίες της ελληνικής αγοράς στην εξεύρεση συμπληρωματικών πόρων. Προτείνουμε την επιμήκυνση των προθεσμιών κατά ένα έτος για τις εγχώριες παραγωγές.</w:t>
      </w:r>
    </w:p>
    <w:p/>
    <w:p/>
    <w:p>
      <w:pPr/>
      <w:r>
        <w:rPr/>
        <w:t xml:space="preserve">7. Επί του Άρθρου 103 (παρ. 12 &amp; 13): Καταδικάζουμε τη διάταξη που επιτρέπει τη μονιμοποίηση αποσπασμένων υπαλλήλων στο ΕΚΚΟΜΕΔ κατά παρέκκλιση της κείμενης νομοθεσίας και χωρίς κρίση υπηρεσιακών συμβουλίων, στήνοντας έναν μηχανισμό «ημετέρων».</w:t>
      </w:r>
    </w:p>
    <w:p/>
    <w:p/>
    <w:p>
      <w:pPr/>
      <w:r>
        <w:rPr/>
        <w:t xml:space="preserve">Ο κινηματογράφος δεν είναι απλώς ένας «αναπτυξιακός πυλώνας της οικονομίας». Είναι πολιτισμός και συλλογική μνήμη. Και αυτή τη μνήμη την παράγουν οι δημιουργοί, όχι οι τεχνοκράτες.</w:t>
      </w:r>
    </w:p>
    <w:p/>
    <w:p/>
    <w:p>
      <w:pPr/>
      <w:r>
        <w:rPr/>
        <w:t xml:space="preserve">Για την παράταξη «Συνέχεια με προοπτική»</w:t>
      </w:r>
    </w:p>
    <w:p/>
    <w:p>
      <w:pPr/>
      <w:r>
        <w:rPr/>
        <w:t xml:space="preserve">Ο επικεφαλής, Στέργιος Μήτας  Σκηνοθέτης – Μέλος του Δ.Σ. της Εταιρείας Ελλήνων Σκηνοθετών (ΕΕΣ)</w:t>
      </w:r>
    </w:p>
    <w:p/>
    <w:p>
      <w:pPr/>
      <w:r>
        <w:rPr>
          <w:b w:val="1"/>
          <w:bCs w:val="1"/>
        </w:rPr>
        <w:t xml:space="preserve">Τ**** Λ***** – 19 Ιουλίου 2026, 17:54</w:t>
      </w:r>
    </w:p>
    <w:p>
      <w:pPr/>
      <w:r>
        <w:rPr/>
        <w:t xml:space="preserve">Σχόλιο επί του Κεφαλαίου Γ΄ – Επιλεκτικό Πρόγραμμα (άρθρα 83-90)</w:t>
      </w:r>
    </w:p>
    <w:p/>
    <w:p/>
    <w:p>
      <w:pPr/>
      <w:r>
        <w:rPr/>
        <w:t xml:space="preserve">Το βασικό διακύβευμα του Κεφαλαίου Γ΄ του σχεδίου νόμου δεν είναι μόνο η τροποποίηση επιμέρους διαδικασιών, αλλά η διατήρηση της ανεξαρτησίας της καλλιτεχνικής κρίσης και του χαρακτήρα των επιλεκτικών χρηματοδοτήσεων ως εργαλείου πολιτιστικής πολιτικής.</w:t>
      </w:r>
    </w:p>
    <w:p/>
    <w:p/>
    <w:p>
      <w:pPr/>
      <w:r>
        <w:rPr/>
        <w:t xml:space="preserve">Οι επιλεκτικές χρηματοδοτήσεις έχουν διαφορετική αποστολή από τα επενδυτικά εργαλεία. Υπάρχουν για να στηρίζουν έργα καλλιτεχνικής και πολιτιστικής αξίας, συμπεριλαμβανομένων έργων που λόγω της φύσης τους δεν μπορούν να αξιολογηθούν αποκλειστικά με εμπορικά ή οικονομικά κριτήρια.</w:t>
      </w:r>
    </w:p>
    <w:p/>
    <w:p/>
    <w:p>
      <w:pPr/>
      <w:r>
        <w:rPr/>
        <w:t xml:space="preserve">Για τον λόγο αυτό θεωρώ κρίσιμο να διατηρηθεί σαφής θεσμική διάκριση ανάμεσα στο Cash Rebate (άρθρα 76-82) και στο Επιλεκτικό Πρόγραμμα (άρθρα 83-90). Το πρώτο αποτελεί εργαλείο αναπτυξιακής πολιτικής με στόχο την προσέλκυση παραγωγών και επενδύσεων. Το δεύτερο αποτελεί εργαλείο πολιτιστικής πολιτικής και η λειτουργία του πρέπει να διέπεται πρωτίστως από την ανεξάρτητη καλλιτεχνική αξιολόγηση.</w:t>
      </w:r>
    </w:p>
    <w:p/>
    <w:p>
      <w:pPr/>
      <w:r>
        <w:rPr/>
        <w:t xml:space="preserve">Θεωρώ επίσης ότι σημαντικό μέρος των διατάξεων του Κεφαλαίου Γ΄ αφορά ζητήματα που, κατά τη φύση τους, ανήκουν στον χρηματοδοτικό κανονισμό λειτουργίας του Ε.Κ.Κ.Ο.ΜΕ.Δ. και όχι σε τυπικό νόμο. Ζητήματα όπως τα στάδια αξιολόγησης, οι προθεσμίες, οι όροι εκταμίευσης και οι διαδικασίες εφαρμογής αποτελούν αντικείμενο κανονισμού, ο οποίος πρέπει να μπορεί να αναθεωρείται και να προσαρμόζεται στις εξελίξεις του οπτικοακουστικού τομέα και στις ανάγκες της κινηματογραφικής κοινότητας. Η ενσωμάτωσή τους σε νόμο περιορίζει σημαντικά αυτή τη δυνατότητα, δυσχεραίνει τη μελλοντική προσαρμογή του συστήματος και αποκλίνει από τη συνήθη πρακτική που ακολουθούν τα περισσότερα ευρωπαϊκά κέντρα κινηματογράφου, όπου τα ζητήματα αυτά ρυθμίζονται μέσω κανονισμών και όχι μέσω νομοθετικών διατάξεων.Με αυτή την επιφύλαξη ως προς τη δομή του Κεφαλαίου Γ΄, καταθέτω τις ακόλουθες επιμέρους παρατηρήσεις και προτάσεις.</w:t>
      </w:r>
    </w:p>
    <w:p/>
    <w:p/>
    <w:p>
      <w:pPr/>
      <w:r>
        <w:rPr/>
        <w:t xml:space="preserve">1. Καλλιτεχνική αξιολόγηση και αρμοδιότητες της Κεντρικής Επιτροπής (άρθρα 84 και 85)</w:t>
      </w:r>
    </w:p>
    <w:p/>
    <w:p/>
    <w:p>
      <w:pPr/>
      <w:r>
        <w:rPr/>
        <w:t xml:space="preserve">Η αξιολόγηση των έργων αποτελεί τον πυρήνα του Επιλεκτικού Προγράμματος.</w:t>
      </w:r>
    </w:p>
    <w:p/>
    <w:p/>
    <w:p>
      <w:pPr/>
      <w:r>
        <w:rPr/>
        <w:t xml:space="preserve">Η δυνατότητα της πενταμελούς Κεντρικής Επιτροπής να αποκλίνει από την αξιολόγηση των ανεξάρτητων εμπειρογνωμόνων δημιουργεί σοβαρό θεσμικό ζήτημα, καθώς μεταφέρει την τελική καλλιτεχνική κρίση από τους ειδικούς αξιολογητές σε ένα διοικητικό όργανο.</w:t>
      </w:r>
    </w:p>
    <w:p/>
    <w:p/>
    <w:p>
      <w:pPr/>
      <w:r>
        <w:rPr/>
        <w:t xml:space="preserve">Προτείνεται:</w:t>
      </w:r>
    </w:p>
    <w:p/>
    <w:p/>
    <w:p>
      <w:pPr/>
      <w:r>
        <w:rPr/>
        <w:t xml:space="preserve">η Κεντρική Επιτροπή να περιορίζεται στον έλεγχο νομιμότητας, διαδικασίας, προϋπολογισμού και διαθεσιμότητας πόρων,</w:t>
      </w:r>
    </w:p>
    <w:p/>
    <w:p>
      <w:pPr/>
      <w:r>
        <w:rPr/>
        <w:t xml:space="preserve">η τελική καλλιτεχνική κατάταξη των έργων να προκύπτει αποκλειστικά από την αξιολόγηση των ανεξάρτητων εμπειρογνωμόνων.</w:t>
      </w:r>
    </w:p>
    <w:p/>
    <w:p/>
    <w:p>
      <w:pPr/>
      <w:r>
        <w:rPr/>
        <w:t xml:space="preserve">Εφόσον διατηρηθεί δυνατότητα απόκλισης από την αξιολόγηση των εμπειρογνωμόνων, αυτή θα πρέπει να επιτρέπεται μόνο κατ’ εξαίρεση, με ομόφωνη, ειδικά αιτιολογημένη και δημόσια γνωστοποιούμενη απόφαση.</w:t>
      </w:r>
    </w:p>
    <w:p/>
    <w:p/>
    <w:p>
      <w:pPr/>
      <w:r>
        <w:rPr/>
        <w:t xml:space="preserve">Διαφορετικά, η αξιολόγηση των εμπειρογνωμόνων κινδυνεύει να μετατραπεί από αποφασιστικό στοιχείο της διαδικασίας σε απλή γνωμοδότηση.</w:t>
      </w:r>
    </w:p>
    <w:p/>
    <w:p/>
    <w:p>
      <w:pPr/>
      <w:r>
        <w:rPr/>
        <w:t xml:space="preserve">2. Σύνθεση της Κεντρικής Επιτροπής (άρθρο 85)</w:t>
      </w:r>
    </w:p>
    <w:p/>
    <w:p/>
    <w:p>
      <w:pPr/>
      <w:r>
        <w:rPr/>
        <w:t xml:space="preserve">Η σύνθεση της Κεντρικής Επιτροπής πρέπει να αντανακλά τον χαρακτήρα των επιλεκτικών χρηματοδοτήσεων ως θεσμού πολιτιστικής πολιτικής.</w:t>
      </w:r>
    </w:p>
    <w:p/>
    <w:p/>
    <w:p>
      <w:pPr/>
      <w:r>
        <w:rPr/>
        <w:t xml:space="preserve">Προτείνεται:</w:t>
      </w:r>
    </w:p>
    <w:p/>
    <w:p/>
    <w:p>
      <w:pPr/>
      <w:r>
        <w:rPr/>
        <w:t xml:space="preserve">πλειοψηφική συμμετοχή προσώπων με αναγνωρισμένη κινηματογραφική εμπειρία,</w:t>
      </w:r>
    </w:p>
    <w:p/>
    <w:p>
      <w:pPr/>
      <w:r>
        <w:rPr/>
        <w:t xml:space="preserve">θεσμική εκπροσώπηση του δημιουργικού ντοκιμαντέρ,</w:t>
      </w:r>
    </w:p>
    <w:p/>
    <w:p>
      <w:pPr/>
      <w:r>
        <w:rPr/>
        <w:t xml:space="preserve">εγγυήσεις ανεξαρτησίας των μελών από την εκάστοτε πολιτική ηγεσία.</w:t>
      </w:r>
    </w:p>
    <w:p/>
    <w:p/>
    <w:p>
      <w:pPr/>
      <w:r>
        <w:rPr/>
        <w:t xml:space="preserve">Η δημόσια χρηματοδότηση της καλλιτεχνικής δημιουργίας απαιτεί θεσμικά αντίβαρα ώστε η τελική κρίση να παραμένει συνδεδεμένη με την κινηματογραφική γνώση και εμπειρία.</w:t>
      </w:r>
    </w:p>
    <w:p/>
    <w:p/>
    <w:p>
      <w:pPr/>
      <w:r>
        <w:rPr/>
        <w:t xml:space="preserve">3. Διαφάνεια της διαδικασίας αξιολόγησης (άρθρα 84-85)</w:t>
      </w:r>
    </w:p>
    <w:p/>
    <w:p/>
    <w:p>
      <w:pPr/>
      <w:r>
        <w:rPr/>
        <w:t xml:space="preserve">Η αξιοπιστία του συστήματος προϋποθέτει πλήρη διαφάνεια.</w:t>
      </w:r>
    </w:p>
    <w:p/>
    <w:p/>
    <w:p>
      <w:pPr/>
      <w:r>
        <w:rPr/>
        <w:t xml:space="preserve">Προτείνεται να δημοσιοποιούνται:</w:t>
      </w:r>
    </w:p>
    <w:p/>
    <w:p/>
    <w:p>
      <w:pPr/>
      <w:r>
        <w:rPr/>
        <w:t xml:space="preserve">η βαθμολογία κάθε έργου,</w:t>
      </w:r>
    </w:p>
    <w:p/>
    <w:p>
      <w:pPr/>
      <w:r>
        <w:rPr/>
        <w:t xml:space="preserve">η αιτιολόγηση της αξιολόγησης των εμπειρογνωμόνων,</w:t>
      </w:r>
    </w:p>
    <w:p/>
    <w:p>
      <w:pPr/>
      <w:r>
        <w:rPr/>
        <w:t xml:space="preserve">κάθε απόκλιση της τελικής απόφασης από την εισήγηση των αξιολογητών,</w:t>
      </w:r>
    </w:p>
    <w:p/>
    <w:p>
      <w:pPr/>
      <w:r>
        <w:rPr/>
        <w:t xml:space="preserve">η ειδική αιτιολογία της Κεντρικής Επιτροπής,</w:t>
      </w:r>
    </w:p>
    <w:p/>
    <w:p>
      <w:pPr/>
      <w:r>
        <w:rPr/>
        <w:t xml:space="preserve">τα σχετικά πρακτικά.</w:t>
      </w:r>
    </w:p>
    <w:p/>
    <w:p/>
    <w:p>
      <w:pPr/>
      <w:r>
        <w:rPr/>
        <w:t xml:space="preserve">Η διαφάνεια αποτελεί βασική εγγύηση απέναντι σε αυθαίρετες ή μη ελέγξιμες αποφάσεις.</w:t>
      </w:r>
    </w:p>
    <w:p/>
    <w:p/>
    <w:p>
      <w:pPr/>
      <w:r>
        <w:rPr/>
        <w:t xml:space="preserve">4. Καλλιτεχνική ελευθερία και όρια της διοικητικής κρίσης (άρθρα 83-85)</w:t>
      </w:r>
    </w:p>
    <w:p/>
    <w:p/>
    <w:p>
      <w:pPr/>
      <w:r>
        <w:rPr/>
        <w:t xml:space="preserve">Θα πρέπει να προβλεφθεί ρητά ότι οι αποφάσεις χρηματοδότησης δεν μπορούν να επηρεάζονται από το πολιτικό, ιδεολογικό ή θεματικό περιεχόμενο ενός έργου.</w:t>
      </w:r>
    </w:p>
    <w:p/>
    <w:p/>
    <w:p>
      <w:pPr/>
      <w:r>
        <w:rPr/>
        <w:t xml:space="preserve">Η αρχή αυτή απορρέει από:</w:t>
      </w:r>
    </w:p>
    <w:p/>
    <w:p/>
    <w:p>
      <w:pPr/>
      <w:r>
        <w:rPr/>
        <w:t xml:space="preserve">το άρθρο 16 παρ. 1 του Συντάγματος (ελευθερία της τέχνης),</w:t>
      </w:r>
    </w:p>
    <w:p/>
    <w:p>
      <w:pPr/>
      <w:r>
        <w:rPr/>
        <w:t xml:space="preserve">το άρθρο 14 του Συντάγματος (ελευθερία έκφρασης),</w:t>
      </w:r>
    </w:p>
    <w:p/>
    <w:p>
      <w:pPr/>
      <w:r>
        <w:rPr/>
        <w:t xml:space="preserve">το άρθρο 10 της ΕΣΔΑ,</w:t>
      </w:r>
    </w:p>
    <w:p/>
    <w:p>
      <w:pPr/>
      <w:r>
        <w:rPr/>
        <w:t xml:space="preserve">το άρθρο 13 του Χάρτη Θεμελιωδών Δικαιωμάτων της Ευρωπαϊκής Ένωσης.</w:t>
      </w:r>
    </w:p>
    <w:p/>
    <w:p/>
    <w:p>
      <w:pPr/>
      <w:r>
        <w:rPr/>
        <w:t xml:space="preserve">Οι επιλεκτικές χρηματοδοτήσεις δεν μπορούν να εξαρτώνται από τη συμφωνία ή τη διαφωνία της εκάστοτε διοίκησης με το περιεχόμενο ενός έργου, αλλά αποκλειστικά από την ανεξάρτητη καλλιτεχνική αξιολόγησή του.</w:t>
      </w:r>
    </w:p>
    <w:p/>
    <w:p/>
    <w:p>
      <w:pPr/>
      <w:r>
        <w:rPr/>
        <w:t xml:space="preserve">5. Αποσαφήνιση της έννοιας «δημόσιο συμφέρον» ως λόγου ανάκλησης (άρθρο 84)</w:t>
      </w:r>
    </w:p>
    <w:p/>
    <w:p/>
    <w:p>
      <w:pPr/>
      <w:r>
        <w:rPr/>
        <w:t xml:space="preserve">Η επίκληση του «δημοσίου συμφέροντος» ως λόγου ανάκλησης χρηματοδότησης απαιτεί σαφέστερο νομοθετικό προσδιορισμό.</w:t>
      </w:r>
    </w:p>
    <w:p/>
    <w:p/>
    <w:p>
      <w:pPr/>
      <w:r>
        <w:rPr/>
        <w:t xml:space="preserve">Θα πρέπει να καθορίζονται:</w:t>
      </w:r>
    </w:p>
    <w:p/>
    <w:p/>
    <w:p>
      <w:pPr/>
      <w:r>
        <w:rPr/>
        <w:t xml:space="preserve">το αρμόδιο όργανο,</w:t>
      </w:r>
    </w:p>
    <w:p/>
    <w:p>
      <w:pPr/>
      <w:r>
        <w:rPr/>
        <w:t xml:space="preserve">τα αντικειμενικά κριτήρια,</w:t>
      </w:r>
    </w:p>
    <w:p/>
    <w:p>
      <w:pPr/>
      <w:r>
        <w:rPr/>
        <w:t xml:space="preserve">η διαδικασία λήψης απόφασης,</w:t>
      </w:r>
    </w:p>
    <w:p/>
    <w:p>
      <w:pPr/>
      <w:r>
        <w:rPr/>
        <w:t xml:space="preserve">οι εγγυήσεις ελέγχου.</w:t>
      </w:r>
    </w:p>
    <w:p/>
    <w:p/>
    <w:p>
      <w:pPr/>
      <w:r>
        <w:rPr/>
        <w:t xml:space="preserve">Η έννοια του δημοσίου συμφέροντος αποτελεί σημαντική νομική αρχή, δεν μπορεί όμως να λειτουργεί ως αόριστη βάση περιορισμού της καλλιτεχνικής ελευθερίας ή ως μέσο αξιολόγησης του περιεχομένου ενός έργου.</w:t>
      </w:r>
    </w:p>
    <w:p/>
    <w:p/>
    <w:p>
      <w:pPr/>
      <w:r>
        <w:rPr/>
        <w:t xml:space="preserve">Απαιτούνται σαφή, προβλέψιμα και ελέγξιμα κριτήρια ώστε να προστατεύεται η αρχή της νομιμότητας και της ασφάλειας δικαίου.</w:t>
      </w:r>
    </w:p>
    <w:p/>
    <w:p/>
    <w:p>
      <w:pPr/>
      <w:r>
        <w:rPr/>
        <w:t xml:space="preserve">6. Διακριτός χαρακτήρας Επιλεκτικού Προγράμματος και Cash Rebate (άρθρα 76-90)</w:t>
      </w:r>
    </w:p>
    <w:p/>
    <w:p/>
    <w:p>
      <w:pPr/>
      <w:r>
        <w:rPr/>
        <w:t xml:space="preserve">Η διεύρυνση των επιλέξιμων κατηγοριών χρηματοδότησης πρέπει να εξεταστεί με ιδιαίτερη προσοχή ώστε να μην υπάρξει μετατόπιση δημόσιων πόρων από την κινηματογραφική δημιουργία προς παραγωγές που ήδη διαθέτουν ισχυρή εμπορική δυνατότητα.</w:t>
      </w:r>
    </w:p>
    <w:p/>
    <w:p/>
    <w:p>
      <w:pPr/>
      <w:r>
        <w:rPr/>
        <w:t xml:space="preserve">Το Cash Rebate αποτελεί εργαλείο αναπτυξιακής πολιτικής.</w:t>
      </w:r>
    </w:p>
    <w:p/>
    <w:p/>
    <w:p>
      <w:pPr/>
      <w:r>
        <w:rPr/>
        <w:t xml:space="preserve">Το Επιλεκτικό Πρόγραμμα αποτελεί εργαλείο πολιτιστικής πολιτικής.</w:t>
      </w:r>
    </w:p>
    <w:p/>
    <w:p/>
    <w:p>
      <w:pPr/>
      <w:r>
        <w:rPr/>
        <w:t xml:space="preserve">Η εξομοίωση των δύο μηχανισμών θα αλλοίωνε τον λόγο ύπαρξης των επιλεκτικών χρηματοδοτήσεων, οι οποίες υπάρχουν ακριβώς για να υποστηρίζουν την καλλιτεχνική δημιουργία, την πολιτιστική πολυφωνία και έργα που δεν μπορούν να υλοποιηθούν αποκλειστικά με όρους αγοράς.</w:t>
      </w:r>
    </w:p>
    <w:p/>
    <w:p/>
    <w:p>
      <w:pPr/>
      <w:r>
        <w:rPr/>
        <w:t xml:space="preserve">Πρόταση συνολικής αρχής:</w:t>
      </w:r>
    </w:p>
    <w:p/>
    <w:p/>
    <w:p>
      <w:pPr/>
      <w:r>
        <w:rPr/>
        <w:t xml:space="preserve">Η διοίκηση του Ε.Κ.Κ.Ο.ΜΕ.Δ. οφείλει να διασφαλίζει τη νομιμότητα, τη διαφάνεια και την ορθή διαχείριση των δημόσιων πόρων. Η καλλιτεχνική κρίση, όμως, πρέπει να παραμένει ανεξάρτητη και να ασκείται από πρόσωπα με την απαιτούμενη καλλιτεχνική γνώση και εμπειρία.</w:t>
      </w:r>
    </w:p>
    <w:p/>
    <w:p>
      <w:pPr/>
      <w:r>
        <w:rPr>
          <w:b w:val="1"/>
          <w:bCs w:val="1"/>
        </w:rPr>
        <w:t xml:space="preserve">ΕΝΩΣΗ ΠΑΡΑΓΩΓΩΝ ΟΠΤΙΚΟΑΚΟΥΣΤΙΚΩΝ ΕΡΓΩΝ - PACT – 19 Ιουλίου 2026, 19:25</w:t>
      </w:r>
    </w:p>
    <w:p>
      <w:pPr/>
      <w:r>
        <w:rPr/>
        <w:t xml:space="preserve">Η ΈΝΩΣΗ ΠΑΡΑΓΩΓΩΝ ΟΠΤΙΚΟΑΚΟΥΣΤΙΚΩΝ ΈΡΓΩΝ - PACT έχει συμμετάσχει ενεργά στη δημιουργία του νόμου ενίσχυσης παραγωγής οπτικοακουστικών έργων από την πρώτη του εφαρμογή και έκτοτε συμβάλλει με προτάσεις για την εξέλιξή του, έχοντας γνώμονα τη βιωσιμότητα, τη διαφάνεια και την απλοποίηση των προτεινόμενων διατάξεων του.</w:t>
      </w:r>
    </w:p>
    <w:p/>
    <w:p/>
    <w:p>
      <w:pPr/>
      <w:r>
        <w:rPr/>
        <w:t xml:space="preserve">Όσον αφορά την παρούσα επικαιροποίηση, θεωρούμε πως γενικά τα άρθρα του Μέρους Δ’ αντλούν εμπειρία από την εφαρμογή των νόμων 4487/17, 5105/24 και των σχετικών ΚΥΑ και κινούνται προς τη σωστή κατεύθυνση.</w:t>
      </w:r>
    </w:p>
    <w:p/>
    <w:p/>
    <w:p>
      <w:pPr/>
      <w:r>
        <w:rPr/>
        <w:t xml:space="preserve">Υπάρχουν όμως κάποιες επιμέρους παρατηρήσεις που, κατά τη γνώμη μας, συμβάλλουν σε μεγαλύτερη διαφάνεια, στον καλύτερο έλεγχο και στην επιτάχυνση των διαδικασιών, τις οποίες παραθέτουμε στη συνέχεια.</w:t>
      </w:r>
    </w:p>
    <w:p/>
    <w:p/>
    <w:p>
      <w:pPr/>
      <w:r>
        <w:rPr/>
        <w:t xml:space="preserve">ΜΕΡΟΣ Δ’. ΚΕΦΑΛΑΙΟ Β’ ΕΠΕΝΔΥΤΙΚΟ ΠΡΟΓΡΑΜΜΑ ΣΤΗΡΙΞΗΣ ΟΠΤΙΚΟΑΚΟΥΣΤΙΚΩΝ ΕΡΓΩΝ ΜΕ ΤΗΝ ΟΝΟΜΑΣΙΑ «CASH REBATE GREECE»</w:t>
      </w:r>
    </w:p>
    <w:p/>
    <w:p/>
    <w:p>
      <w:pPr/>
      <w:r>
        <w:rPr/>
        <w:t xml:space="preserve">Το άρθρο 77. Παρ. ε, αναφέρει: «Έναρξη εργασιών επενδυτικού σχεδίου»: το πρώτο χρονικά σημείο μεταξύ της έναρξης των εργασιών παραγωγής ή μεταπαραγωγής που αφορούν στην επένδυση και πραγματοποιούνται στην ελληνική επικράτεια και της πρώτης νομικά δεσμευτικής ανάληψης υποχρέωσης για την παραγγελία ή μίσθωση εξοπλισμού ή άλλης ανάληψης υποχρέωσης στην ελληνική επικράτεια που καθιστά μη αναστρέψιμη την επένδυση. Η αγορά γης και οι προπαρασκευαστικές εργασίες, όπως η λήψη αδειών και η εκπόνηση μελετών σκοπιμότητας, δεν θεωρούνται έναρξη εργασιών του επενδυτικού σχεδίου.»</w:t>
      </w:r>
    </w:p>
    <w:p/>
    <w:p/>
    <w:p>
      <w:pPr/>
      <w:r>
        <w:rPr/>
        <w:t xml:space="preserve">Επειδή ΟΛΑ τα υποβαλλόμενα έργα ΠΡΙΝ την υποβολή αίτησης υπαγωγής είναι πιθανόν να έχουν κάνει ένα μεγάλο αριθμό δεσμευτικών εργασιών που καθιστούν την επένδυση μη αναστρέψιμη, όπως…</w:t>
      </w:r>
    </w:p>
    <w:p/>
    <w:p>
      <w:pPr/>
      <w:r>
        <w:rPr/>
        <w:t xml:space="preserve">•	Αγορά δικαιωμάτων ενός βιβλίου ή άλλου έργου διανόησης.</w:t>
      </w:r>
    </w:p>
    <w:p/>
    <w:p>
      <w:pPr/>
      <w:r>
        <w:rPr/>
        <w:t xml:space="preserve">•	Συγγραφή σεναρίου, με τη συνεργασία ενός ή περισσότερων σεναριογράφων.</w:t>
      </w:r>
    </w:p>
    <w:p/>
    <w:p>
      <w:pPr/>
      <w:r>
        <w:rPr/>
        <w:t xml:space="preserve">•	Ταξίδια εύρεσης χώρων γυρίσματος (location scouting).</w:t>
      </w:r>
    </w:p>
    <w:p/>
    <w:p>
      <w:pPr/>
      <w:r>
        <w:rPr/>
        <w:t xml:space="preserve">•	Casting πρωταγωνιστών και δεσμευτικά συμβόλαια συνεργασίας.</w:t>
      </w:r>
    </w:p>
    <w:p/>
    <w:p>
      <w:pPr/>
      <w:r>
        <w:rPr/>
        <w:t xml:space="preserve">•	Δοκιμαστικά γυρίσματα για την επιλογή ηθοποιών (casting auditions).</w:t>
      </w:r>
    </w:p>
    <w:p/>
    <w:p>
      <w:pPr/>
      <w:r>
        <w:rPr/>
        <w:t xml:space="preserve">•	Συμφωνητικά με τους βασικούς συντελεστές όπως Σκηνοθέτη, Διευθυντή Φωτογραφίας, Καλλιτεχνικό Διευθυντή κ.λπ. τα οποία προβλέπουν ρήτρες υλοποίησης.</w:t>
      </w:r>
    </w:p>
    <w:p/>
    <w:p>
      <w:pPr/>
      <w:r>
        <w:rPr/>
        <w:t xml:space="preserve">•	Συμφωνητικά με τους βασικούς παρόχους εξοπλισμού, χώρων γυρίσματος κ.λπ.</w:t>
      </w:r>
    </w:p>
    <w:p/>
    <w:p/>
    <w:p>
      <w:pPr/>
      <w:r>
        <w:rPr/>
        <w:t xml:space="preserve">Προτείνεται η αντικατάσταση της λέξης «εργασιών» με τη φράση «των προβλεπόμενων προς ενίσχυση γυρισμάτων στην Ελλάδα».</w:t>
      </w:r>
    </w:p>
    <w:p/>
    <w:p/>
    <w:p>
      <w:pPr/>
      <w:r>
        <w:rPr/>
        <w:t xml:space="preserve">Εάν παραμείνει η λέξη «εργασιών», πέρα από τα προβλήματα ακυρότητας που μπορεί να δημιουργήσει σε ένα επενδυτικό σχέδιο, ουσιαστικά πριμοδοτεί τα έργα που είναι εντελώς ανώριμα για την παραγωγή τους, άρα τα στοιχεία που υποβάλλουν είναι απολύτως θεωρητικά και υπάρχει περίπτωση να μην ξεκινήσουν ποτέ. Ακόμα αποκλείει ΟΛΕΣ τις διεθνείς συμπαραγωγές και τις υπηρεσίες παραγωγής (production services), διότι σίγουρα αυτές έχουν κάνει πολλές μη αναστρέψιμες προπαρασκευαστικές ενέργειες, όπως συμφωνητικά διανομής, συμβόλαια με ηθοποιούς κ.λπ.</w:t>
      </w:r>
    </w:p>
    <w:p/>
    <w:p/>
    <w:p>
      <w:pPr/>
      <w:r>
        <w:rPr/>
        <w:t xml:space="preserve">Σημειώνουμε πως δεν πρέπει να συγχέεται η έναρξη εργασιών επενδυτικού σχεδίου με την έναρξη επιλεξιμότητας δαπανών, η οποία ενεργοποιείται μετά την οριστικοποιημένη υποβολή του αιτήματος υπαγωγής στη σχετική πλατφόρμα.</w:t>
      </w:r>
    </w:p>
    <w:p/>
    <w:p/>
    <w:p>
      <w:pPr/>
      <w:r>
        <w:rPr/>
        <w:t xml:space="preserve">Το άρθρο 78, παρ. 1 αναφέρει: Τα επενδυτικά σχέδια όλων των καθεστώτων ενίσχυσης ενισχύονται μέσω της παροχής επενδυτικού κινήτρου, το οποίο συνίσταται στην επιχορήγηση από το Ελληνικό Δημόσιο χρηματικού ποσού για την κάλυψη τμήματος των επιλέξιμων δαπανών του επενδυτικού σχεδίου. </w:t>
      </w:r>
    </w:p>
    <w:p/>
    <w:p/>
    <w:p>
      <w:pPr/>
      <w:r>
        <w:rPr/>
        <w:t xml:space="preserve">Επειδή η ενίσχυση της παραγωγής οπτικοακουστικών έργων δεν είναι επιχορήγηση αλλά κίνητρο επιστροφής επενδεδυμένου κεφαλαίου (cash rebate), σε όλα τα αναφερόμενα σημεία στον υπό διαβούλευση νόμο προτείνουμε η λέξη «επιχορήγηση» να αντικατασταθεί με τη φράση «επιστροφή κεφαλαίου».</w:t>
      </w:r>
    </w:p>
    <w:p/>
    <w:p/>
    <w:p>
      <w:pPr/>
      <w:r>
        <w:rPr/>
        <w:t xml:space="preserve">Το άρθρο 79, παρ. 6γ αναφέρει: «ο φορέας υλοποίησης της επένδυσης ή ο δικαιούχος…»</w:t>
      </w:r>
    </w:p>
    <w:p/>
    <w:p/>
    <w:p>
      <w:pPr/>
      <w:r>
        <w:rPr/>
        <w:t xml:space="preserve">Πολύ σωστά στις παραπάνω παράγραφο όπως και σε άλλα σημεία του σχεδίου νόμου αναφέρονται οι διακριτές έννοιες «φορέας υλοποίησης» &amp; «δικαιούχος ενίσχυσης». Αυτός ο διαχωρισμός είναι απολύτως απαραίτητος, ειδικά στις περιπτώσεις των υπηρεσιών παραγωγής (production services), όπου μια ελληνική ή αλλοδαπή εταιρεία είναι ο Δικαιούχος Ενίσχυσης (και έχει την πλήρη ευθύνη υλοποίησης του έργου) ενώ διαφορετική ημεδαπή ο Φορέας Υλοποίησης (που έχει περιορισμένη συμβατική ευθύνη). Προτείνουμε αυτή η διάκριση να εφαρμόζεται σε όλα τα στάδια εξέλιξης της παραγωγής και κυρίως να αποτυπωθεί στις Υπεύθυνες Δηλώσεις που είναι υποχρεωμένοι ο Φορέας και ο Δικαιούχος να υπογράφουν.</w:t>
      </w:r>
    </w:p>
    <w:p/>
    <w:p/>
    <w:p>
      <w:pPr/>
      <w:r>
        <w:rPr/>
        <w:t xml:space="preserve">Το άρθρο 79, παρ. 8, β αναφέρει: [Επιτρέπεται τροποποίηση των όρων ένταξης για την] εσωτερική αυξομειωτική ανακατανομή των κατηγοριών επιλέξιμων δαπανών που περιλήφθηκαν στο εγκεκριμένο επενδυτικό σχέδιο, εφόσον η αύξηση υπερβαίνει το είκοσι τοις εκατό (20%) ανά κατηγορία επιλέξιμης δαπάνης,</w:t>
      </w:r>
    </w:p>
    <w:p/>
    <w:p/>
    <w:p>
      <w:pPr/>
      <w:r>
        <w:rPr/>
        <w:t xml:space="preserve">Επειδή όμως στο άρθρο 78 παρ. 2 του παρόντος προσχεδίου προβλέπονται σαφώς 4 βασικές κατηγορίες δαπανών παραγωγής, δεν υπάρχει κανένας λόγος κατά τις διαδικασίες υποβολής και ελέγχου να υφίστανται 7 κατηγορίες, οι οποίες δημιουργούν μόνο γραφειοκρατική ύλη που δεν συμβάλλει στη διαφάνεια και την αποτελεσματικότητα του ελέγχου.</w:t>
      </w:r>
    </w:p>
    <w:p/>
    <w:p/>
    <w:p>
      <w:pPr/>
      <w:r>
        <w:rPr/>
        <w:t xml:space="preserve">Γι' αυτόν τον λόγο προτείνουμε την ενσωμάτωση των υφιστάμενων κατηγοριών υποβολής 2, 3, 4, 5 στην κατηγορία 2. Αυτό αφενός θα κάνει τη φόρμα προϋπολογισμού συμβατή με τα διεθνή πρότυπα, αλλά και θα μειώσει το γραφειοκρατικό χάος με τις μεταφορές εξόδων μεταξύ αυτών των κατηγοριών, οι οποίες αποτελούν ουσιαστικά ΜΙΑ ΚΟΙΝΗ δεξαμενή εξόδων.</w:t>
      </w:r>
    </w:p>
    <w:p/>
    <w:p/>
    <w:p>
      <w:pPr/>
      <w:r>
        <w:rPr/>
        <w:t xml:space="preserve">ΜΕΡΟΣ Δ’. ΚΕΦΑΛΑΙΟ Γ΄ ΕΠΙΛΕΚΤΙΚΟ ΠΡΟΓΡΑΜΜΑ ΧΡΗΜΑΤΟΔΟΤΙΚΗΣ ΣΤΗΡΙΞΗΣ ΕΛΛΗΝΙΚΟΥ ΚΙΝΗΜΑΤΟΓΡΑΦΟΥ</w:t>
      </w:r>
    </w:p>
    <w:p/>
    <w:p/>
    <w:p>
      <w:pPr/>
      <w:r>
        <w:rPr/>
        <w:t xml:space="preserve">Όσον αφορά τα επιλεκτικά προγράμματα χρηματοδοτικής στήριξης του Ελληνικού κινηματογράφου στο προσχέδιο νόμου υπάρχουν άρθρα που αφορούν ζητήματα που έως τώρα καθορίζονταν από το χρηματοδοτικό κανονισμό του οργανισμού (όπως συνηθίζεται σε όλους τους αντίστοιχους παγκόσμιους οργανισμούς). Θεωρούμε πως αυτά τα σημεία δεν πρέπει να αποτελούν άρθρα ενός νόμου, διότι στερούν την απαραίτητη ευελιξία και ταχύτητα εφαρμογής, οπότε προτείνουμε να αποσυρθούν από τον προς ψήφιση νόμο.</w:t>
      </w:r>
    </w:p>
    <w:p/>
    <w:p/>
    <w:p>
      <w:pPr/>
      <w:r>
        <w:rPr/>
        <w:t xml:space="preserve">Εν κατακλείδι τόσο για τα επιλεκτικά όσο και για τα επενδυτικά προγράμματα, θεωρούμε πως η ένταξη ζητημάτων που αφορούν τον κανονισμό λειτουργίας του ΕΚΚΟΜΕΔ σε ένα νόμο, που προφανώς και δεν μπορεί να τροποποιείται σε τακτά διαστήματα, μόνο αγκυλώσεις και εμπόδια μπορεί να επιφέρει στην ανάπτυξη του τομέα. </w:t>
      </w:r>
    </w:p>
    <w:p/>
    <w:p/>
    <w:p>
      <w:pPr/>
      <w:r>
        <w:rPr/>
        <w:t xml:space="preserve">ΜΕΡΟΣ Δ’. ΚΕΦΑΛΑΙΟ Ε΄ ΕΙΔΙΚΑ ΧΡΗΜΑΤΟΔΟΤΙΚΑ ΠΡΟΓΡΑΜΜΑΤΑ</w:t>
      </w:r>
    </w:p>
    <w:p/>
    <w:p/>
    <w:p>
      <w:pPr/>
      <w:r>
        <w:rPr/>
        <w:t xml:space="preserve">Το άρθρο 92, Φορολογικό κίνητρο για την ενίσχυση της παραγωγής οπτικοακουστικών έργων, αναφέρει: Όπου στο άρθρο 71Ε του Κώδικα Φορολογίας Εισοδήματος (ν. 4172/2013, Α΄ 167) και στην κατ’ εξουσιοδότηση εκδοθείσα υπ’ αρ. 31548/13.11.2020 κοινή απόφαση των Υπουργών Οικονομικών και Επικρατείας και του Διοικητή της Ανεξάρτητης Αρχής Δημοσίων Εσόδων «Καθορισμός των επιλέξιμων δαπανών, των κατηγοριών των οπτικοακουστικών έργων, της διαδικασίας και του χρόνου ελέγχου της τήρησης των όρων και προϋποθέσεων των διατάξεων του άρθρου 71Ε του ν. 4172/2013 (Α’ 167), καθώς και των προϋποθέσεων, των όρων και της διαδικασίας και κάθε άλλης λεπτομέρειας για την εφαρμογή του άρθρου αυτού» (Β΄ 5021) γίνεται αναφορά σε διατάξεις του ν. 4487/2017 (Α΄ 116), νοούνται οι αντίστοιχες διατάξεις του παρόντος. </w:t>
      </w:r>
    </w:p>
    <w:p/>
    <w:p/>
    <w:p>
      <w:pPr/>
      <w:r>
        <w:rPr/>
        <w:t xml:space="preserve">Αναμφίβολα είναι πολύ σημαντική η επαναφορά του νόμου για το φορολογικό κίνητρο, και την υποστηρίζουμε απολύτως. Είναι σημαντικό όμως να δούμε τους δύο βασικούς λόγους για τους οποίους η πρώτη προσπάθεια εφαρμογής του tax credit, πρακτικά ΔΕΝ λειτούργησε.</w:t>
      </w:r>
    </w:p>
    <w:p/>
    <w:p/>
    <w:p>
      <w:pPr/>
      <w:r>
        <w:rPr/>
        <w:t xml:space="preserve">Πρόβλημα 1. Το αίτημα υπαγωγής έπρεπε να υποβληθεί τουλάχιστον 10 ημέρες πριν την έναρξη των γυρισμάτων. Με δεδομένο ότι ένα έργο μπορεί να χρειαστεί επιπλέον χρηματοδότηση σε οποιαδήποτε φάση της παραγωγής, η ανεύρεση χρηματοδότη πριν τα γυρίσματα περιόριζε πολύ το πεδίο έρευνας και συνεργασίας.</w:t>
      </w:r>
    </w:p>
    <w:p/>
    <w:p/>
    <w:p>
      <w:pPr/>
      <w:r>
        <w:rPr/>
        <w:t xml:space="preserve">Πρόβλημα 2. Την ενίσχυση του tax credit έπρεπε να λάβει αποκλειστικά ο αιτών χρηματοδότης. Σε όλα τα συστήματα tax credit το αίτημα το κάνει ο Παραγωγός, ο οποίος φροντίζει για τη συμμόρφωση με όλες τις προβλεπόμενες διαδικασίες και ελέγχους, μέχρι να λάβει το πιστοποιητικό (tax credit voucher) από το Υπουργείο Οικονομικών, το οποίο έχει δικαίωμα να το διαθέσει σε οποιαδήποτε ημεδαπή εταιρεία που θα ήθελε να συμμετάσχει στην παραγωγή.</w:t>
      </w:r>
    </w:p>
    <w:p/>
    <w:p/>
    <w:p>
      <w:pPr/>
      <w:r>
        <w:rPr/>
        <w:t xml:space="preserve">Πώς δουλεύει το tax credit σε άλλες χώρες</w:t>
      </w:r>
    </w:p>
    <w:p/>
    <w:p/>
    <w:p>
      <w:pPr/>
      <w:r>
        <w:rPr/>
        <w:t xml:space="preserve">Μετά από έρευνα θεωρούμε πως το πιο επιτυχημένο μοντέλο το οποίο θα μπορούσαμε να ακολουθήσουμε είναι της Ιταλίας, το οποίο βασίστηκε στα πρότυπα του μοντέλου της Ουγγαρίας και της Μεγάλης Βρετανίας, όπου...</w:t>
      </w:r>
    </w:p>
    <w:p/>
    <w:p/>
    <w:p>
      <w:pPr/>
      <w:r>
        <w:rPr/>
        <w:t xml:space="preserve">•	Δημιουργείται μια εταιρεία ειδικού σκοπού (SPV) με καθορισμένο τραπεζικό λογαριασμό, όπου εκεί θα μεταφερθούν όλες οι συμμετοχές των συμπαραγωγών και μέσω αυτού του λογαριασμού θα γίνουν όλες οι πληρωμές για τις δαπάνες που θα πραγματοποιηθούν στη χώρα.</w:t>
      </w:r>
    </w:p>
    <w:p/>
    <w:p>
      <w:pPr/>
      <w:r>
        <w:rPr/>
        <w:t xml:space="preserve">•	Ο Παραγωγός, μέσω ημεδαπού εκτελεστή παραγωγής, υποβάλλει μια ενημερωτική αίτηση στη σχετική διαδικτυακή πύλη (online portal) για το έργο που θέλει να εντάξει στο tax credit. Σε αυτή τη φάση δεν γίνεται κάποιος έλεγχος ή προέγκριση.</w:t>
      </w:r>
    </w:p>
    <w:p/>
    <w:p>
      <w:pPr/>
      <w:r>
        <w:rPr/>
        <w:t xml:space="preserve">•	Υπάρχει σχετική λίστα με επιλέξιμες και μη επιλέξιμες δαπάνες, ανάλογη με αυτή του cash rebate.</w:t>
      </w:r>
    </w:p>
    <w:p/>
    <w:p>
      <w:pPr/>
      <w:r>
        <w:rPr/>
        <w:t xml:space="preserve">•	Μετά την ολοκλήρωση των γυρισμάτων κατατίθενται όλα τα απαραίτητα δικαιολογητικά και η έκθεση του ορκωτού ελεγκτή, όπως στο cash rebate.</w:t>
      </w:r>
    </w:p>
    <w:p/>
    <w:p>
      <w:pPr/>
      <w:r>
        <w:rPr/>
        <w:t xml:space="preserve">•	Αφού γίνει ο σχετικός έλεγχος, το Υπουργείο Οικονομικών εκδίδει προς τον παραγωγό ένα tax credit voucher, ύψους από 30% έως 40% επί των πιστοποιημένων επιλέξιμων δαπανών, ανάλογα με την περιοχή στην οποία έχει γυριστεί το έργο.</w:t>
      </w:r>
    </w:p>
    <w:p/>
    <w:p>
      <w:pPr/>
      <w:r>
        <w:rPr/>
        <w:t xml:space="preserve">•	Ο Παραγωγός, ως άμεσος δικαιούχος, έχει το δικαίωμα να «μεταβιβάσει» το tax credit voucher σε οποιονδήποτε ημεδαπό φορολογούμενο και να λάβει την αξία του από αυτόν. Συνήθως η «πώληση» του voucher γίνεται προς τράπεζες ή άλλα χρηματοπιστωτικά ιδρύματα με κάποια έκπτωση (discount), αλλά υπάρχουν και μεγάλες εταιρείες που θέλουν να συνδεθούν με κάποια έργα, οι οποίες «αγοράζουν» τα vouchers.</w:t>
      </w:r>
    </w:p>
    <w:p/>
    <w:p/>
    <w:p>
      <w:pPr/>
      <w:r>
        <w:rPr/>
        <w:t xml:space="preserve">Εάν γίνει μια αντίστοιχη εφαρμογή στην Ελλάδα, αφενός θα πρέπει να καθοριστεί το ύψος της ενίσχυσης (30% ή και έως 40% για ειδικά έργα ή συνθήκες), αλλά για έργα που έχουν υπαχθεί στο cash rebate, θα πρέπει να ληφθούν υπόψη και τα παρακάτω:</w:t>
      </w:r>
    </w:p>
    <w:p/>
    <w:p/>
    <w:p>
      <w:pPr/>
      <w:r>
        <w:rPr/>
        <w:t xml:space="preserve">Το αίτημα για ένταξη ενός έργου στο tax credit μπορεί να γίνει από την επόμενη ημέρα της κατάθεσης του αιτήματος υπαγωγής (έναρξη επενδυτικού σχεδίου) μέχρι και την προηγούμενη ημέρα από το αίτημα διορισμού ορκωτού ελεγκτή (λήξη επενδυτικού σχεδίου).</w:t>
      </w:r>
    </w:p>
    <w:p/>
    <w:p/>
    <w:p>
      <w:pPr/>
      <w:r>
        <w:rPr/>
        <w:t xml:space="preserve">Επειδή τίθεται θέμα σώρευσης, σε περίπτωση παράλληλης ενίσχυσης και από το cash rebate, το tax credit μπορεί να καλύψει το μέγιστο +18% επί του συνολικού προϋπολογισμού. Π.χ.:</w:t>
      </w:r>
    </w:p>
    <w:p/>
    <w:p/>
    <w:p>
      <w:pPr/>
      <w:r>
        <w:rPr/>
        <w:t xml:space="preserve">•	Έστω έργο συνολικού προϋπολογισμού 1.000.000.</w:t>
      </w:r>
    </w:p>
    <w:p/>
    <w:p>
      <w:pPr/>
      <w:r>
        <w:rPr/>
        <w:t xml:space="preserve">•	Θα έχει επιλέξιμες δαπάνες 800.000 (80% επί του προϋπολογισμού).</w:t>
      </w:r>
    </w:p>
    <w:p/>
    <w:p>
      <w:pPr/>
      <w:r>
        <w:rPr/>
        <w:t xml:space="preserve">•	Θα λάβει από το cash rebate 320.000 (32% επί του προϋπολογισμού).</w:t>
      </w:r>
    </w:p>
    <w:p/>
    <w:p>
      <w:pPr/>
      <w:r>
        <w:rPr/>
        <w:t xml:space="preserve">•	Περιθώριο για κάλυψη από tax credit 180.000 (18% επί του προϋπολογισμού).</w:t>
      </w:r>
    </w:p>
    <w:p/>
    <w:p/>
    <w:p>
      <w:pPr/>
      <w:r>
        <w:rPr/>
        <w:t xml:space="preserve">Εννοείται βέβαια πως το tax credit μπορεί να λειτουργήσει ανεξάρτητα από το cash rebate και στα επιλεκτικά προγράμματα χρηματοδότησης, τηρώντας πάντα τις προβλέψεις σώρευσης.</w:t>
      </w:r>
    </w:p>
    <w:p/>
    <w:p/>
    <w:p>
      <w:pPr/>
      <w:r>
        <w:rPr/>
        <w:t xml:space="preserve">Είμαστε στη διάθεση των αρμόδιων υπηρεσιών σας για περαιτέρω διευκρινίσεις και ουσιαστικό διάλογο με στόχο τη βέλτιστη συνεργασία για θέματα παραγωγής οπτικοακουστικών έργων.</w:t>
      </w:r>
    </w:p>
    <w:p/>
    <w:p/>
    <w:p>
      <w:pPr/>
      <w:r>
        <w:rPr/>
        <w:t xml:space="preserve">ΕΝΩΣΗ ΠΑΡΑΓΩΓΩΝ ΟΠΤΙΚΟΑΚΟΥΣΤΙΚΩΝ ΕΡΓΩΝ PACT</w:t>
      </w:r>
    </w:p>
    <w:p/>
    <w:p>
      <w:pPr/>
      <w:r>
        <w:rPr>
          <w:b w:val="1"/>
          <w:bCs w:val="1"/>
        </w:rPr>
        <w:t xml:space="preserve">ΣΥΝΔΕΣΜΟΣ ΑΝΕΞ ΠΑΡΑΓ ΟΠΤΙΚΟΑΚΟΥΣΤΙΚΩΝΕΡΓΩΝ ΣΑΠΟΕ – 19 Ιουλίου 2026, 21:40</w:t>
      </w:r>
    </w:p>
    <w:p>
      <w:pPr/>
      <w:r>
        <w:rPr/>
        <w:t xml:space="preserve">Αθήνα, 19.7.2026</w:t>
      </w:r>
    </w:p>
    <w:p/>
    <w:p/>
    <w:p>
      <w:pPr/>
      <w:r>
        <w:rPr/>
        <w:t xml:space="preserve">ΠΑΡΑΤΗΡΗΣΕΙΣ ΣΥΝΔΕΣΜΟΥ ΑΝΕΞΑΡΤΗΤΩΝ ΠΑΡΑΓΩΓΩΝ ΟΠΤΙΚΟΑΚΟΥΣΤΙΚΩΝ ΕΡΓΩΝ </w:t>
      </w:r>
    </w:p>
    <w:p/>
    <w:p/>
    <w:p>
      <w:pPr/>
      <w:r>
        <w:rPr/>
        <w:t xml:space="preserve">Επί του Σχεδίου Νόμου του Υπουργείου Πολιτισμού</w:t>
      </w:r>
    </w:p>
    <w:p/>
    <w:p>
      <w:pPr/>
      <w:r>
        <w:rPr/>
        <w:t xml:space="preserve">    </w:t>
      </w:r>
    </w:p>
    <w:p/>
    <w:p>
      <w:pPr/>
      <w:r>
        <w:rPr/>
        <w:t xml:space="preserve">με τίτλο</w:t>
      </w:r>
    </w:p>
    <w:p/>
    <w:p/>
    <w:p>
      <w:pPr/>
      <w:r>
        <w:rPr/>
        <w:t xml:space="preserve">«Σύσταση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
    <w:p>
      <w:pPr/>
      <w:r>
        <w:rPr/>
        <w:t xml:space="preserve">---</w:t>
      </w:r>
    </w:p>
    <w:p/>
    <w:p/>
    <w:p>
      <w:pPr/>
      <w:r>
        <w:rPr/>
        <w:t xml:space="preserve">Kατ’ αρχάς τονίζουμε πως αποτιμάται ως θετική η ένταξη του οπτικοακουστικού κλάδου στον πενταετή προγραμματισμό του Εθνικού Προγράμματος Ανάπτυξης του ν. 5264/2025,  ως μοχλού σταθερής, διαρκούς και ασφαλούς χρηματοδότησης, τόσο ως προς το σκέλος των επιλεκτικών προγραμμάτων ενίσχυσης όσο και ως προς το cash rebate. Παρέχεται έτσι στοιχειώδης ασφάλεια δικαίου, στοιχείο που συμβάλλει στη γενικότερη αναπτυξιακή στόχευση της χρηματοδότησης του ΟΔΤ ως δυναμικού και ταχέως αναπτυσσόμενου κλάδου της εθνικής οικονομίας.</w:t>
      </w:r>
    </w:p>
    <w:p/>
    <w:p/>
    <w:p>
      <w:pPr/>
      <w:r>
        <w:rPr/>
        <w:t xml:space="preserve">ΚΕΦΑΛΑΙΟ Β’</w:t>
      </w:r>
    </w:p>
    <w:p/>
    <w:p>
      <w:pPr/>
      <w:r>
        <w:rPr/>
        <w:t xml:space="preserve">ΕΠΕΝΔΥΤΙΚΟ ΠΡΟΓΡΑΜΜΑ ΣΤΗΡΙΞΗΣ ΟΠΤΙΚΟΑΚΟΥΣΤΙΚΩΝ ΕΡΓΩΝ ΜΕ ΤΗΝ ΟΝΟΜΑΣΙΑ «CASH REBATE GREECE»</w:t>
      </w:r>
    </w:p>
    <w:p/>
    <w:p>
      <w:pPr/>
      <w:r>
        <w:rPr/>
        <w:t xml:space="preserve">ΑΡΘΡΑ 76 – 82 </w:t>
      </w:r>
    </w:p>
    <w:p/>
    <w:p/>
    <w:p>
      <w:pPr/>
      <w:r>
        <w:rPr/>
        <w:t xml:space="preserve">Άρθρο 77</w:t>
      </w:r>
    </w:p>
    <w:p/>
    <w:p>
      <w:pPr/>
      <w:r>
        <w:rPr/>
        <w:t xml:space="preserve">Στον ορισμό του «δύσκολου οπτικοακουστικού» έχει απαλειφθεί για άγνωστο και ακατανόητο λόγο η περ. ε’ του ισχύοντος ορισμού περί δύσκολου οπτικοακουστικού έργου: «έχει περιορισμένες δυνατότητες εμπορικής εκμετάλλευσης» (αρ. 23 παρ. 2 ν. 5105/2024). Η περίπτωση αυτή δύσκολου έργου πρέπει να επανέλθει, διότι 1) προβλέπεται ευθέως στον Κανονισμό 651/2014 της Επιτροπής της 17.6.2014,  που κάνει αναφορά σε «εν γένει εμπορικώς δύσκολα έργα» (αρ. 2 περ. 120) και  2) παρέχει την δυνατότητα στα αρμόδια όργανα του ΕΚΚΟΜΕΔ να αντιμετωπίσουν εφαρμόσουν ορθά τους κανόνες σώρευσης για έργα με ιδιαίτερα χαρακτηριστικά, τα οποία έχουν περιορισμένες δυνατότητες εμπορικής εκμετάλλευσης. Συνιστά, δηλαδή, ένα ερμηνευτικό εργαλείο, το οποίο ο Έλληνας νομοθέτης δεν έχει κανένα λόγο να απεμπολήσει.</w:t>
      </w:r>
    </w:p>
    <w:p/>
    <w:p/>
    <w:p>
      <w:pPr/>
      <w:r>
        <w:rPr/>
        <w:t xml:space="preserve">Η αντιμετώπιση πχ του ελληνικού animation ως «εν γένει δύσκολου εμπορικού έργου» είναι ένα ζήτημα που πρέπει να εξεταστεί από το ΕΚΚΟΜΕΔ, εφόσον έχει πολλάκις διακηρυχθεί από αξιωματούχους του φορέα η πρόθεση ενίσχυσης και ανάπτυξης του εν λόγω είδους στην Χώρα.</w:t>
      </w:r>
    </w:p>
    <w:p/>
    <w:p/>
    <w:p>
      <w:pPr/>
      <w:r>
        <w:rPr/>
        <w:t xml:space="preserve">Άρθρο 78</w:t>
      </w:r>
    </w:p>
    <w:p/>
    <w:p>
      <w:pPr/>
      <w:r>
        <w:rPr/>
        <w:t xml:space="preserve">Παρ. 2</w:t>
      </w:r>
    </w:p>
    <w:p/>
    <w:p/>
    <w:p>
      <w:pPr/>
      <w:r>
        <w:rPr/>
        <w:t xml:space="preserve">Προτείνεται η ρητή συμπερίληψη της «αμοιβής παραγωγού» στις δαπάνες above the line, όπως ισχύει σε αλλοδαπά σχήματα cash rebate. Θα έπρεπε να θεωρείται αυτονόητη συμπερίληψη του έργου του παραγωγού, και της σχετικής αμοιβής, στο βασικό δημιουργικό κόστος παραγωγής. Αντ’ αυτού μέχρι σήμερα έχουμε παλινωδίες ως προς την δέουσα αντιμετώπισης της σχετικής δαπάνης, ερμηνευτικές αμφισημίες και αντικρουόμενες πρακτικές προτάσεις από όργανα του ΕΚΚΟΜΕΔ.</w:t>
      </w:r>
    </w:p>
    <w:p/>
    <w:p/>
    <w:p>
      <w:pPr/>
      <w:r>
        <w:rPr/>
        <w:t xml:space="preserve">Παρ. 7 </w:t>
      </w:r>
    </w:p>
    <w:p/>
    <w:p>
      <w:pPr/>
      <w:r>
        <w:rPr/>
        <w:t xml:space="preserve">Ως προς το animation  οι ρυθμίσεις περί Ελάχιστης Εγχώριας Επιλέξιμης Δαπάνης είναι  παντελώς εξωπραγματικές και ανεφάρμοστες, αποκλείοντας στην ουσία την εγχώρια παραγωγή από την υπαγωγή στο καθεστώς A’. Πρέπει να υπάρξει εξορθολογισμός των σχετικών ποσών με σημαντική μείωση της ΕΕΕΔ ή να εισαχθούν χρονικά κριτήρια για την υπαγωγή (π.χ ελάχιστη συνολική διάρκεια επεισοδίων).</w:t>
      </w:r>
    </w:p>
    <w:p/>
    <w:p/>
    <w:p>
      <w:pPr/>
      <w:r>
        <w:rPr/>
        <w:t xml:space="preserve">Παρ. 10</w:t>
      </w:r>
    </w:p>
    <w:p/>
    <w:p>
      <w:pPr/>
      <w:r>
        <w:rPr/>
        <w:t xml:space="preserve">Το συνολικό ποσό της ενίσχυσης ανά επενδυτικό σχέδιο στον καθεστώς FTV Greece πρέπει να παραμείνει με όριο στα 8.000.000 ευρώ.  Η επιπλέον ενίσχυση έως 10.000.000 ευρώ πρέπει να είναι επιτρεπτή μόνο κατόπιν της ειδικής διαδικασίας του ισχύοντος νομικού πλαισίου, εφόσον το σχέδιο κρίνεται ως στρατηγικό εθνικής αναπτυξιακής σημασίας. Η άνευ ουδεμίας περαιτέρω διατύπωσης δυνατότητα καταβολής έως 10.000.000 ευρώ ανά επενδυτικό σχέδιο, ήτοι 2.000.000 περισσότερα από το  ισχύον πλαφόν, συνεπάγεται υπέρμετρη ενίσχυση ενός συγκεκριμένου project εις βάρος άλλων, χωρίς καν να έχει τεκμηριωθεί ότι αυτό το σχέδιο έχει ιδιαίτερη προστιθέμενη αξία, εθνική αναπτυξιακή σημασία κοκ. </w:t>
      </w:r>
    </w:p>
    <w:p/>
    <w:p/>
    <w:p>
      <w:pPr/>
      <w:r>
        <w:rPr/>
        <w:t xml:space="preserve">Αρ. 79 </w:t>
      </w:r>
    </w:p>
    <w:p/>
    <w:p>
      <w:pPr/>
      <w:r>
        <w:rPr/>
        <w:t xml:space="preserve">Παρ. 2.</w:t>
      </w:r>
    </w:p>
    <w:p/>
    <w:p>
      <w:pPr/>
      <w:r>
        <w:rPr/>
        <w:t xml:space="preserve">Η διάταξη περί δυνατότητας υποβολής έγγραφης αίτησης υπαγωγής, κατά το χρονικό διάστημα αναστολής λειτουργίας της πλατφόρμας, αξιολογείται καταρχήν ως θετική. Εντούτοις ο περιορισμός της δυνατότητας αυτής μόνο στα διεθνή / διασυνοριακά επενδυτικά σχέδια, είναι αντισυνταγματικός. Πρέπει να επεκταθεί η δυνατότητα αυτή στο σύνολο των επιλέξιμων σχεδίων, εφόσον τεκμηριώνεται η ανάγκη έγκαιρης υποβολής της αίτησης χρηματοδότησης βάσει των συγκεκριμένων χαρακτηριστικών και αναγκών του κάθε επενδυτικού σχεδίου. Διαφορετικά εισάγεται αυθαίρετη χαριστική ρύθμιση υπέρ συγκεκριμένων δικαιούχων εις βάρος άλλων, μολονότι η επείγουσα και επιτακτική ανάγκη υποβολής αίτησης υπαγωγής, ανεξαρτήτως λειτουργίας της πλατφόρμας, μπορεί να είναι κοινή.</w:t>
      </w:r>
    </w:p>
    <w:p/>
    <w:p/>
    <w:p>
      <w:pPr/>
      <w:r>
        <w:rPr/>
        <w:t xml:space="preserve">Παρ. 2.</w:t>
      </w:r>
    </w:p>
    <w:p/>
    <w:p>
      <w:pPr/>
      <w:r>
        <w:rPr/>
        <w:t xml:space="preserve">Σε περίπτωση αρνητικής απόφασης ενός αξιολογητή, απορρίπτεται το σχέδιο συνολικά. Είναι ανεπιεικής  και δυσανάλογη ρύθμιση. Πρέπει να προβλεφθεί τρίτος αξιολογητής στη περίπτωση αυτή, προκειμένου να αντιμετωπίζονται δίκαια τα υπό αξιολόγηση σχέδια. Η Επιτροπή Ενστάσεων του αρ. 81 παρ. 3 του νομοσχεδίου πρέπει να επιλαμβάνεται στην περίπτωση αυτή κατόπιν της αξιολόγησης από τον τρίτο αξιολογητή.</w:t>
      </w:r>
    </w:p>
    <w:p/>
    <w:p/>
    <w:p>
      <w:pPr/>
      <w:r>
        <w:rPr/>
        <w:t xml:space="preserve">Η πρότασή μας είναι ο τρίτος αξιολογητής να είναι Ορκωτός Ελεγκτής εκ των εγκεκριμένων από τον ΕΚΚΟΜΕΔ Α.Ε, λόγω ιδιότητας αλλά και λόγω εμπειρίας, καθώς ελέγχουν τους φακέλους  υπαγωγής σε διάφορα στάδια της διαδικασίας (π.χ για την έκδοση Opinion Letter).</w:t>
      </w:r>
    </w:p>
    <w:p/>
    <w:p/>
    <w:p>
      <w:pPr/>
      <w:r>
        <w:rPr/>
        <w:t xml:space="preserve">Παρ. 6</w:t>
      </w:r>
    </w:p>
    <w:p/>
    <w:p>
      <w:pPr/>
      <w:r>
        <w:rPr/>
        <w:t xml:space="preserve">Η παρ. 6 περί δυνατότητας ανάκλησης της απόφασης ένταξης εάν εμφανιστούν νέα στοιχεία που τεκμηριώνουν ότι το επενδυτικό σχέδιο, κατά την υλοποίησή του, έχει πορνογραφικό χαρακτήρα, υποκινεί τη βία ή παραβιάζει τα ανθρώπινα δικαιώματα (περ. δ’) είναι πολλαπλώς προβληματική και αντισυνταγματική.</w:t>
      </w:r>
    </w:p>
    <w:p/>
    <w:p/>
    <w:p>
      <w:pPr/>
      <w:r>
        <w:rPr/>
        <w:t xml:space="preserve">Η εκ των υστέρων «ανακάλυψη» ή «εφεύρεση» αυτών των στοιχείων εισάγει ακραία ανασφάλεια δικαίου, είναι εξόχως αντι-επενδυτική πρόβλεψη και καθιστά κάθε έργο «επιλέξιμο υπό αίρεση». Αυτά τα στοιχεία μπορούν να αξιολογηθούν πριν την απόφαση υπαγωγής, αποτελούν μέρος του φακέλου παραγωγής και βρίσκονται στη διάθεση των αξιολογητών. Η «εκ των υστέρων» επίκλησή τους μπορεί να σημαίνει μόνο παρέμβαση τρίτων, ομάδων πίεσης, ισχυρών παραγόντων κοκ.</w:t>
      </w:r>
    </w:p>
    <w:p/>
    <w:p>
      <w:pPr/>
      <w:r>
        <w:rPr/>
        <w:t xml:space="preserve">Επιπροσθέτως η «υποκίνηση σε βία» ή η «παραβίαση των ανθρωπίνων δικαιωμάτων» είναι εξαιρετικά εύπλαστες και ευρείες έννοιες. Υπενθυμίζεται πως κατά το ελληνικό Σύνταγμα η Τέχνη είναι ελεύθερη και μάλιστα χωρίς να προβλέπεται επιφύλαξη υπέρ του νόμου, όπως συμβαίνει στα περισσότερα συνταγματικά δικαιώματα (αρ. 16 παρ. 1).</w:t>
      </w:r>
    </w:p>
    <w:p/>
    <w:p/>
    <w:p>
      <w:pPr/>
      <w:r>
        <w:rPr/>
        <w:t xml:space="preserve">Ανακύπτει εύλογα το ερώτημα ποιος και με ποια κριτήρια θα αξιολογεί εκ των υστέρων, πως ένα επενδυτικό σχέδιο «υποκινεί σε βία» ή «παραβιάζει τα ανθρώπινα δικαιώματα». Αυτές οι προβλέψεις δεν υπάρχουν ούτε στον ισχύοντα ν. 5105/2024, ο οποίος εντάσσει στα μη επιλέξιμα έργα: </w:t>
      </w:r>
    </w:p>
    <w:p/>
    <w:p>
      <w:pPr/>
      <w:r>
        <w:rPr/>
        <w:t xml:space="preserve">[…] προγράμματα που θίγουν την ανθρώπινη αξιοπρέπεια και προγράμματα που εισάγουν ή προάγουν διακρίσεις βάσει φύλου, φυλετικής ή εθνοτικής καταγωγής, εθνικότητας, θρησκείας ή πεποιθήσεων, αναπηρίας, ηλικίας ή σεξουαλικού προσανατολισμού (αρ. 26 παρ. 7 ν. 5105/2024).</w:t>
      </w:r>
    </w:p>
    <w:p/>
    <w:p>
      <w:pPr/>
      <w:r>
        <w:rPr/>
        <w:t xml:space="preserve">Η υποκίνηση σε βία, όμως, και τα ανθρώπινα δικαιώματα εν γένει, συνιστούν υπέρμετρη αντισυνταγματική διεύρυνση του περιορισμού αυτού.</w:t>
      </w:r>
    </w:p>
    <w:p/>
    <w:p/>
    <w:p>
      <w:pPr/>
      <w:r>
        <w:rPr/>
        <w:t xml:space="preserve">Μια ταινία για έναν κατά συρροή δολοφόνο π.χ μπορεί να θεωρηθεί υποκίνηση σε βία, εάν παρουσιάζει και μια πλευρά αυτού του ανθρώπου που τον καθιστά σχετικά συμπαθή στο κοινό (π.χ ένας πολύ φιλόζωος ή τρυφερός προς την οικογένειά του δολοφόνος);</w:t>
      </w:r>
    </w:p>
    <w:p/>
    <w:p/>
    <w:p>
      <w:pPr/>
      <w:r>
        <w:rPr/>
        <w:t xml:space="preserve">H τιμή και η υπόληψη κάθε ανθρώπου, ομοίως, ως απορρέουσες από την ανθρώπινη αξία και το δικαίωμα στην προσωπικότητα, προστατεύονται κατά το Σύνταγμα. Μπορεί εκ των υστέρων ένα επενδυτικό σχέδιο π.χ να κριθεί ότι προσβάλλει την τιμή ενός  προσώπου εν ζωή και κατόπιν εντόνων διαμαρτυριών να ανακληθεί η απόφαση υπαγωγής;</w:t>
      </w:r>
    </w:p>
    <w:p/>
    <w:p/>
    <w:p>
      <w:pPr/>
      <w:r>
        <w:rPr/>
        <w:t xml:space="preserve">Tα ως άνω θεωρητικά παραδείγματα αναδεικνύουν τους κινδύνους της ρύθμισης αυτής και τον ολισθηρό δρόμο, που αυτή διανοίγει. </w:t>
      </w:r>
    </w:p>
    <w:p/>
    <w:p/>
    <w:p>
      <w:pPr/>
      <w:r>
        <w:rPr/>
        <w:t xml:space="preserve">Άλλωστε, δεν πρέπει να παραβλέπεται η έμμεση λογοκριτική επίδραση που μπορεί να ασκήσει αυτή η πρόβλεψη στους δημιουργούς («chilling effect» κατά τη νομολογία του ΕΔΔΑ). Προκειμένου να μην δημιουργηθεί πρόβλημα στην χρηματοδότηση μιας ταινίας, μπορεί να εμφανιστούν φαινόμενα αυτολογοκρισίας και να «λειαίνονται» τα σενάρια, να προσαρμόζονται στις ανάγκες της δημόσιας χρηματοδότησης, στην εικαζόμενη βούληση ή κρίση κρατικών οργάνων κλπ. Φρονούμε πως δεν αρμόζει κάτι τέτοιο σε μια φιλελεύθερη δημοκρατία και θα απαλειφθεί η περίπτωση αυτή από το  σχέδιο νόμου.</w:t>
      </w:r>
    </w:p>
    <w:p/>
    <w:p/>
    <w:p>
      <w:pPr/>
      <w:r>
        <w:rPr/>
        <w:t xml:space="preserve">Άρθρο 82</w:t>
      </w:r>
    </w:p>
    <w:p/>
    <w:p>
      <w:pPr/>
      <w:r>
        <w:rPr/>
        <w:t xml:space="preserve">Προτείνουμε να οριστεί υποχρεωτική διαβούλευση με τα αντιπροσωπευτικότερα σωματεία του κλάδου πριν την έκδοση των ΚΥΑ προκήρυξης καθεστώτων ενίσχυσης, προκειμένου να κατατεθούν απόψεις και προτάσεις ώστε να επιτευχθεί το βέλτιστο δυνατό περιεχόμενο. Η πείρα, η αξία και η τεχνογνωσία των ανθρώπων και των εταιριών που δραστηριοποιούνται στην οπτικοακουστική παραγωγή στην Χώρα είναι αδιαμφισβήτητη. </w:t>
      </w:r>
    </w:p>
    <w:p/>
    <w:p/>
    <w:p>
      <w:pPr/>
      <w:r>
        <w:rPr/>
        <w:t xml:space="preserve">Πέραν αυτού ελλείπει παντελώς ο χρονικός προσδιορισμός της έκδοσης των εν λόγω ΚΥΑ. Πρότασή μας είναι η πρόβλεψη τριών (3) μηνών από τη δημοσίευση στο ΦΕΚ του νόμου. Μετά την πάροδο των τριών μηνών θα υφίσταται παράλειψη οφειλόμενης νόμιμης ενέργειας της Διοίκησης.</w:t>
      </w:r>
    </w:p>
    <w:p/>
    <w:p/>
    <w:p>
      <w:pPr/>
      <w:r>
        <w:rPr/>
        <w:t xml:space="preserve">ΚΕΦΑΛΑΙΟ Γ’</w:t>
      </w:r>
    </w:p>
    <w:p/>
    <w:p>
      <w:pPr/>
      <w:r>
        <w:rPr/>
        <w:t xml:space="preserve">ΕΠΙΛΕΚΤΙΚΟ ΠΡΟΓΡΑΜΜΑ ΧΡΗΜΑΤΟΔΟΤΙΚΗΣ ΣΤΗΡΙΞΗΣ ΕΛΛΗΝΙΚΟΥ ΚΙΝΗΜΑΤΟΓΡΑΦΟΥ</w:t>
      </w:r>
    </w:p>
    <w:p/>
    <w:p>
      <w:pPr/>
      <w:r>
        <w:rPr/>
        <w:t xml:space="preserve">Άρθρα 83 -86</w:t>
      </w:r>
    </w:p>
    <w:p/>
    <w:p/>
    <w:p>
      <w:pPr/>
      <w:r>
        <w:rPr/>
        <w:t xml:space="preserve">Άρθρο 83</w:t>
      </w:r>
    </w:p>
    <w:p/>
    <w:p>
      <w:pPr/>
      <w:r>
        <w:rPr/>
        <w:t xml:space="preserve">Παρ. 4</w:t>
      </w:r>
    </w:p>
    <w:p/>
    <w:p/>
    <w:p>
      <w:pPr/>
      <w:r>
        <w:rPr/>
        <w:t xml:space="preserve">Είναι ασφαλώς θετική η αναφορά ότι η συμμετοχή του ΕΚΚΟΜΕΔ στα έσοδα από την εκμετάλλευση μιας ταινίας συνιστά πόρο που επανεπενδύεται στην ενίσχυση της οπτικοακουστικής παραγωγής (selective) και στους σκοπούς του προγράμματος, εφόσον ασφαλώς τηρείται πιστά η νομοθετική πρόβλεψη. </w:t>
      </w:r>
    </w:p>
    <w:p/>
    <w:p/>
    <w:p>
      <w:pPr/>
      <w:r>
        <w:rPr/>
        <w:t xml:space="preserve">Εξίσου θετική είναι και η ρητή νομοθετική πρόβλεψη περί αξιοποίησης από το δικαιούχο της ένταξης στο πρόγραμμα ως στοιχείο τεκμηρίωσης της αξίας του έργου, καθώς «ενισχύεται» και με την κατοχύρωση του τυπικού νόμου  ο φάκελος της παραγωγής σε όλα τα στάδια που μεσολαβούν έως την υποβολή του οριστικού φακέλου. </w:t>
      </w:r>
    </w:p>
    <w:p/>
    <w:p/>
    <w:p>
      <w:pPr/>
      <w:r>
        <w:rPr/>
        <w:t xml:space="preserve">Στο σημείο αυτό  ζητάμε για μία ακόμα φορά, επιτακτικά, την εφαρμογή του άρθρου 17 παρ. 2  του ν. 4779/2021 (Α’ 27), με τον οποίο ενσωματώθηκε στην εθνική έννομη τάξη η Οδηγία 2010/33/ΕΕ, όπως τροποποιήθηκε και ισχύει με την Οδηγία 2018/1808/ΕΕ. Η εν λόγω διάταξη προβλέπει τα εξής: «Οι πάροχοι υπηρεσιών μέσων επικοινωνίας οφείλουν να συνεισφέρουν οικονομικά, κάθε χρόνο, ποσό ίσο με το 1,5% του κύκλου εργασιών τους που αφορά στην εν λόγω δραστηριότητα είτε α) για την παραγωγή ελληνικών οπτικοακουστικών έργων, είτε β) για την αγορά δικαιωμάτων σε ελληνικά οπτικοακουστικά έργα που δεν έχουν ακόμα κυκλοφορήσει, είτε γ) καταβάλλοντας το ποσό αυτό σε ειδικό λογαριασμό του Εθνικού Κέντρου Οπτικοακουστικών Μέσων και Επικοινωνίας Α.Ε. (Ε.Κ.Ο.Μ.Ε.) που συστάθηκε με τον ν. 4339/2015 (Α΄133) προοριζόμενο για την ενίσχυση των ελληνικών παραγωγών».</w:t>
      </w:r>
    </w:p>
    <w:p/>
    <w:p>
      <w:pPr/>
      <w:r>
        <w:rPr/>
        <w:t xml:space="preserve"> </w:t>
      </w:r>
    </w:p>
    <w:p/>
    <w:p>
      <w:pPr/>
      <w:r>
        <w:rPr/>
        <w:t xml:space="preserve">Η διάταξη αυτή παραμένει -εξ όσων γνωρίζουμε- ανεφάρμοστη και ως προς τις τρεις εναλλακτικές που παρέχει στους παρόχους μέσων επικοινωνίας, γεγονός που δεν περιποιεί τιμή στην ελληνική πολιτεία. Το μόνο που ζητάμε εν προκειμένω είναι η εφαρμογή του νόμου και τίποτε παραπάνω, προκρίνοντας την επιλογή (γ) ως την πλέον ενδεδειγμένη. Η στέρηση του πόρου αυτού από την ελληνική παραγωγή είναι αδικαιολόγητη, επιζήμια για την εγχώρια οπτικοακουστική παραγωγή και προφανώς παράνομη παράλειψη των αρμόδιων οργάνων για την εφαρμογή του νόμου. Η συνεισφορά αυτή, μέχρι σήμερα ανείσπρακτη όπως προαναφέραμε, θα μπορούσε να αποτελέσει σημαντικό χρηματοδοτικό εργαλείο αναπτυξιακού χαρακτήρα για τον οπτικοακουστικό τομέα, χωρίς να επιβαρύνει τον κρατικό προϋπολογισμό.</w:t>
      </w:r>
    </w:p>
    <w:p/>
    <w:p/>
    <w:p>
      <w:pPr/>
      <w:r>
        <w:rPr/>
        <w:t xml:space="preserve">Παρ. 5</w:t>
      </w:r>
    </w:p>
    <w:p/>
    <w:p>
      <w:pPr/>
      <w:r>
        <w:rPr/>
        <w:t xml:space="preserve">Επαλαμβάνουμε το σχόλιο μας επί του αρ. 77 για το αντίστοιχο πρόβλημα του Cash rebate Greece.</w:t>
      </w:r>
    </w:p>
    <w:p/>
    <w:p/>
    <w:p>
      <w:pPr/>
      <w:r>
        <w:rPr/>
        <w:t xml:space="preserve">Άρθρο 84</w:t>
      </w:r>
    </w:p>
    <w:p/>
    <w:p>
      <w:pPr/>
      <w:r>
        <w:rPr/>
        <w:t xml:space="preserve">Το άρθρο αυτό πρέπει να διαγραφεί στο σύνολό του. Αφορά ρυθμιστική ύλη, που ανήκει στους Κανονισμούς Χρηματοδότησης  και όχι σε τυπικό νόμο. </w:t>
      </w:r>
    </w:p>
    <w:p/>
    <w:p/>
    <w:p>
      <w:pPr/>
      <w:r>
        <w:rPr/>
        <w:t xml:space="preserve">Πέραν αυτού, τίθενται εξωπραγματικές προθεσμίες  από την προέγκριση έως την οριστικοποίηση του φακέλου, παντελώς αναντίστοιχες με τις ανάγκες του κλάδου (παρ. 3).  Τα ζητήματα αυτά έχουν τεθεί πολλάκις από τους παραγωγούς οπτικοακουστικών έργων και έχουν αναδειχθεί όλοι οι λόγοι για τους οποίους θεωρείται εξαιρετικά δύσκολο να τηρηθούν οι επιβαλλόμενες υποχρεώσεις σχετικά με τα στάδια από την προέγκριση έως την οριστική έγκριση, λαμβάνοντας υπόψη τον τρόπο λειτουργίας της οπτικοακουστικής παραγωγής και των δυσχερειών που αντιμετωπίζει σχεδόν κάθε επενδυτικό σχέδιο.</w:t>
      </w:r>
    </w:p>
    <w:p/>
    <w:p/>
    <w:p>
      <w:pPr/>
      <w:r>
        <w:rPr/>
        <w:t xml:space="preserve">Ως εκ τούτου, και επ’ ευκαιρία της επικείμενης νομοθέτησης, τα σχετικά ζητήματα πρέπει να συζητηθούν κατά την κατάρτιση των Κανονισμών Χρηματοδότησης και σε μηδενική βάση. Σε κάθε περίπτωση πρέπει να επανέλθει η τριετία ως minimum γενικώς ισχύουσα διάρκεια προέγκρισης, και μάλιστα  σε ειδικές περιπτώσεις να επεκτείνεται ο χρόνος προέγκρισης στα 4 έτη υπό όρους που θα εξειδικευτούν στους χρηματοδοτικούς κανονισμούς του οργανισμού. </w:t>
      </w:r>
    </w:p>
    <w:p/>
    <w:p/>
    <w:p>
      <w:pPr/>
      <w:r>
        <w:rPr/>
        <w:t xml:space="preserve">Επιπλέον, εάν εκφράσαμε τις έντονες αντιρρήσεις μας για την παρ.  6 του άρθρου 79, το άρθρο 84 προκαλεί ακόμα μεγαλύτερη έκπληξη. Η δυνατότητα ανάκλησης  της προέγκρισης, καθώς και καταγγελίας της σύμβασης χρηματοδότησης, για λόγους δημοσίου συμφέροντος (παρ. 8) πρέπει να συνιστά – ως έχει διατυπωμένη – μοναδική περίπτωση στον ευρωπαϊκό χώρο.  Δύσκολα μπορεί να φανταστεί κανείς πιο αόριστη νομική έννοια από το «δημόσιο συμφέρον». Τα πάντα χωρούν εκεί, κάθε κρατική πολιτική, κάθε απόφαση δημόσιας αρχής. Άλλωστε  το Κράτος και τα όργανά του ορίζουν κυριαρχικά το δημόσιο συμφέρον, έχοντας  ευρύτατη διακριτική ευχέρεια προς τούτο. </w:t>
      </w:r>
    </w:p>
    <w:p/>
    <w:p>
      <w:pPr/>
      <w:r>
        <w:rPr/>
        <w:t xml:space="preserve">Δε νοείται καν η  Τέχνη να αντιβαίνει στο δημόσιο συμφέρον. Δε νοείται ούτε νομικά ούτε με όρους τυπικής λογικής. Η Τέχνη προστατεύεται απόλυτα από το Σύνταγμα. Δεν προστατεύεται αρκεί να μην αντίκειται στο «δημόσιο συμφέρον». Εκτός εάν μιλάμε για μια διαφορετικού τύπου πολιτειακή οργάνωση, όπου η Τέχνη είναι μόνο στρατευμένη ή «εγκεκριμένη», ειδάλλως εκπίπτει σε μη προστατευμένες, «εκφυλισμένες» μορφές. </w:t>
      </w:r>
    </w:p>
    <w:p/>
    <w:p/>
    <w:p>
      <w:pPr/>
      <w:r>
        <w:rPr/>
        <w:t xml:space="preserve">Τέλος, στην παρ. 11 το εδάφιο β’, κατά το οποίο η απόφαση αποκλεισμού από προγράμματα στήριξης του ΕΚΚΟΜΕΔ έως 5 έτη « […] είναι ειδικώς αιτιολογημένη, κοινοποιείται στον ενδιαφερόμενο και δεν γεννά δικαίωμα αποζημίωσης σε βάρος του Ε.Κ.Κ.Ο.ΜΕ.Δ. ή του Ελληνικού Δημοσίου», είναι προδήλως αντισυνταγματικό και δεν έχει ισχύ στη ελληνική έννομη τάξη. Eάν κριθεί από τα αρμόδια δικαστήρια ως παράνομος ο αποκλεισμός του δικαιούχου, το δικαίωμα αποζημίωσης απορρέει ευθέως από το αρ. 20 παρ. 1 του Συντάγματος.</w:t>
      </w:r>
    </w:p>
    <w:p/>
    <w:p/>
    <w:p/>
    <w:p>
      <w:pPr/>
      <w:r>
        <w:rPr/>
        <w:t xml:space="preserve">Άρθρο 85</w:t>
      </w:r>
    </w:p>
    <w:p/>
    <w:p/>
    <w:p>
      <w:pPr/>
      <w:r>
        <w:rPr/>
        <w:t xml:space="preserve">Προτείνουμε την σύσταση πενταμελούς επιτροπής η οποία θα αποτελείται από 2 μέλη των Γενικών Διευθύνσεων του ΕΚΚΟΜΕΔ, α) τον Γενικό Διευθυντή Ελληνικού Κινηματογράφου του Ε.Κ.Κ.Ο.ΜΕ.Δ., ως Πρόεδρο, β) τον Γενικό Διευθυντή Οικονομικής και Διοικητικής Υποστήριξης του Ε.Κ.Κ.Ο.ΜΕ.Δ., ως μέλος, και 3 πρόσωπα με αποδεδειγμένη επαγγελματική εμπειρία στον κινηματογραφικό τομέα, που υποδεικνύονται από το Διοικητικό Συμβούλιο της Ε.Α.Κ. Εξαιρούνται οι εν ενεργεία Πρόεδρος,  μέλη του ΔΣ και Γενικός Διευθυντής.</w:t>
      </w:r>
    </w:p>
    <w:p/>
    <w:p/>
    <w:p>
      <w:pPr/>
      <w:r>
        <w:rPr/>
        <w:t xml:space="preserve">Τα μέλη της επιτροπής θα λαμβάνουν την πλήρη εικόνα των εγκεκριμένων από τους «αναγνώστες» προτάσεων και την εισήγηση της Γενικής Διεύθυνσης Ανάπτυξης και Παραγωγής του Ελληνικού Κινηματογράφου, Οπτικοακουστικών Μέσων &amp; Δημιουργίας (ΕΚΚΟΜΕΔ), προκειμένου να την επικυρώσουν και να προχωρήσουν στην τελική έγκριση και στον καταμερισμό των ποσών χρηματοδότησης.</w:t>
      </w:r>
    </w:p>
    <w:p/>
    <w:p/>
    <w:p>
      <w:pPr/>
      <w:r>
        <w:rPr/>
        <w:t xml:space="preserve">Στις περιπτώσεις όπου προτάσεις που έχουν αξιολογηθεί από τους «αναγνώστες» βρίσκονται σε οριακή θέση λόγω μικρής βαθμολογικής διαφοράς, δύναται να καλούνται οι δημιουργικές ομάδες σε προσωπική συνέντευξη, ώστε να αξιολογείται πληρέστερα η δυναμική τους. Στο τέλος τα μέλη της Επιτροπής, θα προχωρούν στην τελική έγκριση και τον καταμερισμό των ποσών χρηματοδότησης.</w:t>
      </w:r>
    </w:p>
    <w:p/>
    <w:p>
      <w:pPr/>
      <w:r>
        <w:rPr/>
        <w:t xml:space="preserve">Η Επιτροπή είναι πλήρως ανεξάρτητη και η σύνθεσή της από την μεριά των επαγγελματιών του κινηματογραφικού τομέα αλλάζει σε κάθε κύκλο αξιολόγησης. Η  εισαγωγή της ως άνω λειτουργίας της Επιτροπής ενισχύει τη διαφάνεια, αλλά ταυτόχρονα επιτρέπει την αναγκαία ευελιξία ώστε να υποστηριχθούν έργα με ιδιαίτερη καλλιτεχνική ή παραγωγική δυναμική.</w:t>
      </w:r>
    </w:p>
    <w:p/>
    <w:p/>
    <w:p/>
    <w:p>
      <w:pPr/>
      <w:r>
        <w:rPr/>
        <w:t xml:space="preserve">Άρθρο 86</w:t>
      </w:r>
    </w:p>
    <w:p/>
    <w:p/>
    <w:p>
      <w:pPr/>
      <w:r>
        <w:rPr/>
        <w:t xml:space="preserve">Ομοίως όπως σχολιάσαμε υπό το αρ. 82, προτείνουμε  και εδώ να οριστεί νομοθετικά  μέχρι πότε πρέπει να εκδοθούν οι σχετικοί Κανονισμοί Χρηματοδότησης από το ΔΣ του ΕΚΚΟΜΕΔ, καθώς και να προβλεφθεί υποχρεωτικό στάδιο διαβούλευσης με τα αντιπροσωπευτικότερα σωματεία του κλάδου.</w:t>
      </w:r>
    </w:p>
    <w:p/>
    <w:p/>
    <w:p/>
    <w:p>
      <w:pPr/>
      <w:r>
        <w:rPr/>
        <w:t xml:space="preserve">ΚΕΦΑΛΑΙΟ Δ’</w:t>
      </w:r>
    </w:p>
    <w:p/>
    <w:p>
      <w:pPr/>
      <w:r>
        <w:rPr/>
        <w:t xml:space="preserve">ΚΟΙΝΕΣ ΔΙΑΤΑΞΕΙΣ ΕΛΕΓΧΟΥ, ΔΙΑΦΑΝΕΙΑΣ ΚΑΙ ΣΥΜΜΟΡΦΩΣΗΣ ΚΕΦΑΛΑΙΩΝ Β’ ΚΑΙ Γ</w:t>
      </w:r>
    </w:p>
    <w:p/>
    <w:p>
      <w:pPr/>
      <w:r>
        <w:rPr/>
        <w:t xml:space="preserve">Άρθρο 88</w:t>
      </w:r>
    </w:p>
    <w:p/>
    <w:p/>
    <w:p>
      <w:pPr/>
      <w:r>
        <w:rPr/>
        <w:t xml:space="preserve">Η σύσταση Μητρώου Εμπειρογνωμόνων ΟΔΤ δημιουργεί απορίες και σύγχυση. Οι περισσότερες ειδικότητες που ορίζονται ως εν δυνάμει μέλη  του Μητρώου, δεν έχουν ιδιαίτερη σχέση με την οπτικοακουστική παραγωγή. Δεν προκύπτει ποιος αξιολογεί τι ακριβώς, βάσει ποίων προσόντων κοκ.</w:t>
      </w:r>
    </w:p>
    <w:p/>
    <w:p/>
    <w:p>
      <w:pPr/>
      <w:r>
        <w:rPr/>
        <w:t xml:space="preserve">Αγνοείται η τύχη των μέχρι σήμερα «αναγνωστών», οι οποίοι δεν είναι μέλη του Μητρώου μεν, αναφέρονται δε ως «εξωτερικοί αναγνώστες» σε δύο μόνο σημεία του σχεδίου νόμου (αρ. 84 παρ. 2 περ. β’), χωρίς καμία περαιτέρω εξειδίκευση ως προς τον ρόλο τους.</w:t>
      </w:r>
    </w:p>
    <w:p/>
    <w:p/>
    <w:p>
      <w:pPr/>
      <w:r>
        <w:rPr/>
        <w:t xml:space="preserve">Ως εκ τούτου δυσκολευόμαστε να αποδεχθούμε πως θα επιτευχθεί η στόχευση του αρ. 88 παρ. 2, τουλάχιστον με τα δεδομένα που έχουμε ενώπιον μας. Ο θεσμός των «εξωτερικών αναγνωστών» στα Επιλεκτικά Προγράμματα πρέπει να ορισθεί με σαφήνεια στο παρόν νομοσχέδιο και να αποσαφηνιστούν οι αρμοδιότητές τους, όπως ισχύει άλλωστε και σήμερα. </w:t>
      </w:r>
    </w:p>
    <w:p/>
    <w:p/>
    <w:p>
      <w:pPr/>
      <w:r>
        <w:rPr/>
        <w:t xml:space="preserve">Προφανώς η πρόθεση του νομοθέτη είναι να ρυθμιστούν αυτά τα θέματα μεταγενέστερα με απόφαση του ΔΣ (παρ. 8). Παρόλα αυτά μέχρι στιγμής υπάρχει μια πρόδηλη ασάφεια ανάμεσα στην σχέση 1) οργανικών μονάδων του ΕΚΚΟΜΕΔ, που εισηγούνται για τα θέματα που υπάγονται σε αυτές   2) Εμπειρογνωμόνων του Μητρώου και 3) «εξωτερικών αναγνωστών».</w:t>
      </w:r>
    </w:p>
    <w:p/>
    <w:p/>
    <w:p>
      <w:pPr/>
      <w:r>
        <w:rPr/>
        <w:t xml:space="preserve">Άρθρο 89</w:t>
      </w:r>
    </w:p>
    <w:p/>
    <w:p>
      <w:pPr/>
      <w:r>
        <w:rPr/>
        <w:t xml:space="preserve">Παρ. 5</w:t>
      </w:r>
    </w:p>
    <w:p/>
    <w:p/>
    <w:p>
      <w:pPr/>
      <w:r>
        <w:rPr/>
        <w:t xml:space="preserve">Η μορφή και οι τεχνικές προδιαγραφές του αντιγράφου προς κατάθεση πρέπει να ανταποκρίνονται στα μέσα ενσωμάτωσης του έργου εν έτει 2026, και όχι σε ανεφάρμοστες πλέον πρακτικές προηγούμενων δεκαετιών. Αυτό εξυπηρετεί προφανώς όχι μόνο τον παραγωγό ενός οπτικοακουστικού έργου αλλά και το ίδιο το ΕΚΚΟΜΕΔ και τις ανάγκες ασφαλούς απόθεσης της πολιτιστικής κληρονομιάς. Ο επακριβής καθορισμός των τεχνικών προδιαγραφών θα ήταν χρήσιμο να γίνει κατόπιν διαβούλευσης με τους παραγωγούς. </w:t>
      </w:r>
    </w:p>
    <w:p/>
    <w:p/>
    <w:p>
      <w:pPr/>
      <w:r>
        <w:rPr/>
        <w:t xml:space="preserve">ΚΕΦΑΛΑΙΟ Ε’</w:t>
      </w:r>
    </w:p>
    <w:p/>
    <w:p>
      <w:pPr/>
      <w:r>
        <w:rPr/>
        <w:t xml:space="preserve">ΕΙΔΙΚΑ ΧΡΗΜΑΤΟΔΟΤΙΚΑ ΠΡΟΓΡΑΜΜΑΤΑ</w:t>
      </w:r>
    </w:p>
    <w:p/>
    <w:p>
      <w:pPr/>
      <w:r>
        <w:rPr/>
        <w:t xml:space="preserve">Άρθρο 92</w:t>
      </w:r>
    </w:p>
    <w:p/>
    <w:p/>
    <w:p>
      <w:pPr/>
      <w:r>
        <w:rPr/>
        <w:t xml:space="preserve">H διάταξη αυτή είναι απολύτως ορθή, εντούτοις παρόμοιο άρθρο έπρεπε να συμπεριληφθεί και στο ν. 5105/2024, ένα μέρος του οποίου βαίνει προς κατάργηση από 1.1.2027. </w:t>
      </w:r>
    </w:p>
    <w:p/>
    <w:p/>
    <w:p>
      <w:pPr/>
      <w:r>
        <w:rPr/>
        <w:t xml:space="preserve">Η κατάργηση του ν. 4487/2017 από το ν. 5105/2024  δημιούργησε ακούσιο ρυθμιστικό κενό στο καθεστώς του tax relief (αρ. 71 Ε Κώδικα Φορολογίας Εισοδήματος)  και οι αιτήσεις παραγωγών για υπαγωγή στο καθεστώς αυτό μέσω ΠΣΚΕ απερρίφθησαν, παρόλο που για κάποιες είχαν ήδη εκδοθεί και θετικές γνωμοδοτήσεις από τα αρμόδια όργανα. Αυτή η  εμπλοκή προκλήθηκε από αβλεψία του νομοθέτη, η οποία φαίνεται – και ευελπιστούμε – να διορθώνεται με το παρόν άρθρο. Φρονούμε, βέβαια, πως αυτά τα θέματα μπορούν κάλλιστα να επιλύονται με την έκδοση ερμηνευτικών εγκυκλίων του Διοικητή της ΑΑΔΕ. Αν δεν συμβαίνει αυτό, πρέπει να παρεμβαίνει ο νομοθέτης, όπως πράττει με το υπό σχολιασμό άρθρο.</w:t>
      </w:r>
    </w:p>
    <w:p/>
    <w:p/>
    <w:p>
      <w:pPr/>
      <w:r>
        <w:rPr/>
        <w:t xml:space="preserve">Για τη δημιουργία ασφάλειας δικαίου και για λόγους προστασίας της εμπιστοσύνης των παραγωγών οπτικοακουστικών έργων στην ουσιαστική εφαρμογή του καθεστώτος  tax relief, το οποίο ουδέποτε καταργήθηκε ασφαλώς, προτείνουμε την προσθήκη εδαφίου β’  και γ’ στο αρ. 92 ως εξής: </w:t>
      </w:r>
    </w:p>
    <w:p/>
    <w:p>
      <w:pPr/>
      <w:r>
        <w:rPr/>
        <w:t xml:space="preserve">«Αιτήσεις υπαγωγής στο καθεστώς του αρ. 71 Ε του Κώδικα Φορολογίας Εισοδήματος, οι  οποίες υπεβλήθησαν τόσο κατά τη διάρκεια  ισχύος  του  ν. 4487/2017 (Α’ 116), όσο και κατά τη διάρκεια ισχύος του ν. 5105/2024 (Α’ 61), εξετάζονται κανονικά βάσει της κείμενης νομοθεσίας. Τυχόν θετικές γνωμοδοτήσεις των αρμόδιων επιτροπών επί υποβληθέντων αιτημάτων  υπαγωγής παραμένουν σε ισχύ».</w:t>
      </w:r>
    </w:p>
    <w:p/>
    <w:p/>
    <w:p/>
    <w:p>
      <w:pPr/>
      <w:r>
        <w:rPr/>
        <w:t xml:space="preserve">ΚΕΦΑΛΑΙΟ Ζ’</w:t>
      </w:r>
    </w:p>
    <w:p/>
    <w:p>
      <w:pPr/>
      <w:r>
        <w:rPr/>
        <w:t xml:space="preserve">ΕΞΟΥΣΙΟΔΟΤΙΚΕΣ-ΜΕΤΑΒΑΤΙΚΕΣ-ΚΑΤΑΡΓΟΥΜΕΝΕΣ ΔΙΑΤΑΞΕΙΣ ΜΕΡΟΥΣ Δ’</w:t>
      </w:r>
    </w:p>
    <w:p/>
    <w:p/>
    <w:p>
      <w:pPr/>
      <w:r>
        <w:rPr/>
        <w:t xml:space="preserve">Άρθρο 102</w:t>
      </w:r>
    </w:p>
    <w:p/>
    <w:p/>
    <w:p>
      <w:pPr/>
      <w:r>
        <w:rPr/>
        <w:t xml:space="preserve">Θετική ρύθμιση η δυνατότητα λειτουργίας ειδικής ψηφιακής πλατφόρμας για το Cash Rebate. Εντούτοις προτείνουμε να απαλειφθούν οι λέξεις «δύναται να» και να καταστεί υποχρεωτική η έκδοση ΥΑ για ξεχωριστή πλατφόρμα. Η χρήση του ΟΠΣΚΕ είναι εξόχως προβληματική  για τα οπτικοακουστικά έργα. Έχουν δαπανηθεί, ως γνωστόν, πάρα πολλές εργατοώρες συναντήσεων μεταξύ ΕΚΚΟΜΕΔ και παραγωγών στην προσπάθεια να επιλυθούν πρακτικά και τεχνικά θέματα. </w:t>
      </w:r>
    </w:p>
    <w:p/>
    <w:p>
      <w:pPr/>
      <w:r>
        <w:rPr/>
        <w:t xml:space="preserve">Το ΠΣΚΕ, παρά τα προβλήματά του, ανταποκρινόταν καλύτερα στις ανάγκες του CRGR. Έχει έρθει η στιγμή για τον σχεδιασμό και τη χρήση ad hoc πλατφόρμας. Στο βαθμό που θα διασφαλίζεταιι η διαλειτουργικότητά της με τα πληροφοριακά συστήματα της δημόσιας διοίκησης, θα είναι απόλυτα συμβατή και με τις απαιτήσεις του ενωσιακού δικαίου.</w:t>
      </w:r>
    </w:p>
    <w:p/>
    <w:p/>
    <w:p>
      <w:pPr/>
      <w:r>
        <w:rPr/>
        <w:t xml:space="preserve">Άρθρο 103</w:t>
      </w:r>
    </w:p>
    <w:p/>
    <w:p>
      <w:pPr/>
      <w:r>
        <w:rPr/>
        <w:t xml:space="preserve">Παρ. 9.</w:t>
      </w:r>
    </w:p>
    <w:p/>
    <w:p/>
    <w:p>
      <w:pPr/>
      <w:r>
        <w:rPr/>
        <w:t xml:space="preserve">Θετική ρύθμιση, εφόσον επιτευχθεί  ταχεία, έγκαιρη και έγκυρη επίλυση των  θεμάτων που ανακύπτουν. Είναι βέβαιο, πως και αυτή η μετάβαση θα συνοδευτεί από τις δυσχέρειες που διέπουν κάθε παρόμοιο εγχείρημα. Νομικά και τεχνικά ζητήματα, ειδικά κατά τις πρώτες εβδομάδες εφαρμογής του νέου πλαισίου, θα είναι στην ημερήσια διάταξη. Η σύσταση Help Desk πρέπει επίσης να εξεταστεί ως ένα πρώτο φίλτρο των εισερχομένων αιτημάτων, ερωτημάτων κλπ.</w:t>
      </w:r>
    </w:p>
    <w:p/>
    <w:p/>
    <w:p>
      <w:pPr/>
      <w:r>
        <w:rPr/>
        <w:t xml:space="preserve">ΕΙΔΙΚΗ ΜΝΕΙΑ ΓΙΑ ΤΟ ANIMATION: </w:t>
      </w:r>
    </w:p>
    <w:p/>
    <w:p/>
    <w:p>
      <w:pPr/>
      <w:r>
        <w:rPr/>
        <w:t xml:space="preserve">Προς αποφυγή περιττών επαναλήψεων, ο ΣΑΠΟΕ υιοθετεί πλήρως ως προς την αντιμετώπιση του animation στο πλαίσιο του νομοσχεδίου τις θέσεις τις ASIFA HELLAS, όπως κατατίθενται στο πλαίσιο της τρέχουσας διαβούλευσης.</w:t>
      </w:r>
    </w:p>
    <w:p/>
    <w:p>
      <w:pPr/>
      <w:r>
        <w:rPr>
          <w:b w:val="1"/>
          <w:bCs w:val="1"/>
        </w:rPr>
        <w:t xml:space="preserve">ΣΤΕΦΑΝΙΑ ΧΑΡΙΤΟΥ – 19 Ιουλίου 2026, 22:23</w:t>
      </w:r>
    </w:p>
    <w:p>
      <w:pPr/>
      <w:r>
        <w:rPr/>
        <w:t xml:space="preserve">Τα παρακάτω σχόλια αφορούν στις διαδικασίες αξιολόγησης των επιλεκτικών προγραμμάτων: όσον αφορά στα άρθρα 84 και 85 του  κεφαλαίου Γ',  η δημιουργία κεντρικής επιτροπής με τη συγκεκριμένη σύσταση μελών όπως αναφέρεται στο άρθρο 85, στερεί διαφάνεια και αμεροληψία στη διαδικασία αξιολόγησης, η οποία ως τώρα πραγματοποιείται από ανεξάρτητους αξιολογητές που προέρχονται από τον καλλιτεχνικό χώρο και στοιχειοθετείται με βάση συγκεκριμένα κριτήρια αξιολόγησης και τεκμηριωμένες γραπτές αξιολογήσεις. Επιπλέον, τα νέα βήματα αξιολόγησης, όπως αναφέρονται στο άρθρο 84, φαίνονται χρονοβόρα και με περισσότερη γραφειοκρατία, ενώ ως ζητούμενο διατυπώνεται η ταχύτητα και συντομία στις διαδικασίες.</w:t>
      </w:r>
    </w:p>
    <w:p/>
    <w:p>
      <w:pPr/>
      <w:r>
        <w:rPr/>
        <w:t xml:space="preserve">Επίσης, σχετικά με το Μητρώο  Εμπειρογνωμόνων (άρθρο 88) είναι αναγκαίο τα άτομα που θα καταρτίζουν τους αξιολογητές συγκεκριμένα των επιλεκτικών προγραμμάτων να είναι επαγγελματίες του οπτικοακουστικό χώρου, εφόσον οι αξιολογήσεις βασίζονται σε καλλιτεχνικά και δημιουργικά κριτήρια. Δεν διευκρινίζεται αν υπάρχει λόγος ύπαρξης π.χ. δικηγόρων και υπαλλήλων δημόσιων ελεγκτικών υπηρεσιών στην αξιολόγηση αυτών των προγραμμάτων, όπως αναφέρονται στο συγκεκριμένο άρθρο.</w:t>
      </w:r>
    </w:p>
    <w:p/>
    <w:p>
      <w:pPr/>
      <w:r>
        <w:rPr>
          <w:b w:val="1"/>
          <w:bCs w:val="1"/>
        </w:rPr>
        <w:t xml:space="preserve">ΕΛΛΗΝΙΚΗ ΕΝΩΣΗ ΚΙΝΟΥΜΕΝΩΝ ΣΧΕΔΙΩΝ – 19 Ιουλίου 2026, 22:57</w:t>
      </w:r>
    </w:p>
    <w:p>
      <w:pPr/>
      <w:r>
        <w:rPr/>
        <w:t xml:space="preserve">ASIFA HELLAS (Ελληνική Ένωση Κινουμένων Σχεδίων)  επί του Σχεδίου Νόμου του Υπουργείου Πολιτισμού / Μέρος Δ’ του νομοσχεδίου με τίτλο: «Εφαρμογή του εθνικού σχεδίου δράσης με σκοπό την ανάπτυξη του Οπτικοακουστικού Δημιουργικού Τομέα (Ο.Δ.Τ.) (.)</w:t>
      </w:r>
    </w:p>
    <w:p/>
    <w:p/>
    <w:p>
      <w:pPr/>
      <w:r>
        <w:rPr/>
        <w:t xml:space="preserve">Η ASIFA Hellas , ως ο επίσημος θεσμικός συλλογικός φορέας που εκπροσωπεί τους δημιουργούς και τους παραγωγούς του κλάδου του animation στην Ελλάδα, συμμετέχει στη δημόσια διαβούλευση και καταθέτει τις επίσημες θέσεις της επί του νομοσχεδίου με τα εξής σχόλια:</w:t>
      </w:r>
    </w:p>
    <w:p/>
    <w:p/>
    <w:p>
      <w:pPr/>
      <w:r>
        <w:rPr/>
        <w:t xml:space="preserve">Άρθρο 77. </w:t>
      </w:r>
    </w:p>
    <w:p/>
    <w:p>
      <w:pPr/>
      <w:r>
        <w:rPr/>
        <w:t xml:space="preserve">Δομικές ιδιαιτερότητες της παραγωγής Animation</w:t>
      </w:r>
    </w:p>
    <w:p/>
    <w:p/>
    <w:p>
      <w:pPr/>
      <w:r>
        <w:rPr/>
        <w:t xml:space="preserve">Το animation αποτελεί έναν δυναμικά αναπτυσσόμενο κλάδο της οπτικοακουστικής δημιουργίας με σημαντική πολιτιστική, εκπαιδευτική και οικονομική αξία διεθνώς και στη χώρα μας. Οι ιδιαιτερότητες και οι δυσκολίες που χαρακτηρίζουν την υλοποίηση ενός έργου κινουμένων σχεδίων διαφοροποιούν ουσιαστικά την παραγωγή animation από άλλες μορφές οπτικοακουστικής παραγωγής.</w:t>
      </w:r>
    </w:p>
    <w:p/>
    <w:p>
      <w:pPr/>
      <w:r>
        <w:rPr/>
        <w:t xml:space="preserve">Το γεγονός αυτό καθιστά επιτακτική την ανάγκη ενίσχυσης του κλάδου στο εν λόγω νομοσχέδιο, μέσα από προβλέψεις που λαμβάνουν υπόψη τα ιδιαίτερα χαρακτηριστικά του.</w:t>
      </w:r>
    </w:p>
    <w:p/>
    <w:p/>
    <w:p>
      <w:pPr/>
      <w:r>
        <w:rPr/>
        <w:t xml:space="preserve">Κύκλος παραγωγής: Το animation έχει τελείως διαφορετικό κύκλο παραγωγής από τα έργα ζωντανής δράσης (live action). Η προ-παραγωγή στα κινούμενα σχέδια διαρκεί πολλούς μήνες ή και χρόνια, ενώ η κύρια παραγωγή έχει μια εξ ολοκλήρου διαφορετική δομή.</w:t>
      </w:r>
    </w:p>
    <w:p/>
    <w:p>
      <w:pPr/>
      <w:r>
        <w:rPr/>
        <w:t xml:space="preserve">Εξειδικευμένος έλεγχος: Οι ελεγκτικοί μηχανισμοί του νέου καθεστώτος θα πρέπει να συμπεριλαμβάνουν και εξειδικευμένα στελέχη που να κατανοούν τη διαδικασία του animation.</w:t>
      </w:r>
    </w:p>
    <w:p/>
    <w:p>
      <w:pPr/>
      <w:r>
        <w:rPr/>
        <w:t xml:space="preserve">Προϋπολογισμοί (Budgets): Οι φόρμες των προϋπολογισμών πρέπει να συνάδουν με τις ειδικότητες των συνεργατών και το διάγραμμα εξέλιξης της παραγωγής (pipeline) των παραγωγών, τα οποία δεν είναι αντίστοιχα με αυτά των γυρισμάτων (έργων live action). </w:t>
      </w:r>
    </w:p>
    <w:p/>
    <w:p>
      <w:pPr/>
      <w:r>
        <w:rPr/>
        <w:t xml:space="preserve">Επιλέξιμες δαπάνες: Οι επιλέξιμες δαπάνες πρέπει να συμβαδίζουν με τις πραγματικές δαπάνες μιας παραγωγής animation, που είναι εντελώς διαφορετικές από τον υπόλοιπο οπτικοακουστικό τομέα.</w:t>
      </w:r>
    </w:p>
    <w:p/>
    <w:p>
      <w:pPr/>
      <w:r>
        <w:rPr/>
        <w:t xml:space="preserve">________________</w:t>
      </w:r>
    </w:p>
    <w:p/>
    <w:p>
      <w:pPr/>
      <w:r>
        <w:rPr/>
        <w:t xml:space="preserve">Άρθρο 77 παρ.δ  </w:t>
      </w:r>
    </w:p>
    <w:p/>
    <w:p>
      <w:pPr/>
      <w:r>
        <w:rPr/>
        <w:t xml:space="preserve">Αίτημα ένταξης στην κατηγορία «Δύσκολα Οπτικοακουστικά Έργα»</w:t>
      </w:r>
    </w:p>
    <w:p/>
    <w:p/>
    <w:p>
      <w:pPr/>
      <w:r>
        <w:rPr/>
        <w:t xml:space="preserve">Καλούμε την Πολιτεία, μέσω του νέου νομοσχεδίου, να εντάξει ρητά και de facto το σύνολο των παραγωγών κινουμένων σχεδίων (animation) στην κατηγορία των «δύσκολων οπτικοακουστικών έργων». Ο χαρακτηρισμός αυτός δεν αποτελεί προνομιακή μεταχείριση, αλλά αντικειμενική αναγνώριση της ανάγκης που απορρέει από τη δύσκολη φύση κλάδο της παραγωγής ενός έργου κινουμένων σχεδίων :</w:t>
      </w:r>
    </w:p>
    <w:p/>
    <w:p>
      <w:pPr/>
      <w:r>
        <w:rPr/>
        <w:t xml:space="preserve">Πολιτιστική πολυμορφία: Το animation αποτελεί ένα σύνθετο, υψηλής τεχνολογίας πολιτιστικό προϊόν με έντονο καλλιτεχνικό και παιδαγωγικό χαρακτήρα. Η στήριξή του ως «δύσκολο έργο» διασφαλίζει την πολιτιστική πολυμορφία, επιτρέποντας σε ανεξάρτητους δημιουργούς να παράγουν πρωτότυπο περιεχόμενο που μπορεί να ξεπεράσει τα σύνορα της χώρας.</w:t>
      </w:r>
    </w:p>
    <w:p/>
    <w:p>
      <w:pPr/>
      <w:r>
        <w:rPr/>
        <w:t xml:space="preserve">Ανάγκη κρατικής ενίσχυσης: Λόγω των περιορισμένων εγχώριων και ευρωπαϊκών χρηματοδοτικών πόρων, η επιβίωση και η ανάπτυξη των έργων αυτών στην παγκόσμια αγορά είναι αδύνατη χωρίς τη μέγιστη δυνατή κρατική ενίσχυση που προβλέπει ο νόμος για τα δύσκολα έργα.</w:t>
      </w:r>
    </w:p>
    <w:p/>
    <w:p>
      <w:pPr/>
      <w:r>
        <w:rPr/>
        <w:t xml:space="preserve">Επιχειρηματικό ρίσκο: Ο κύκλος παραγωγής του animation απαιτεί εξαιρετικά μεγάλο χρόνο υλοποίησης σε σύγκριση με τα έργα live action. Η μακρά διάρκεια των σταδίων της προ-παραγωγής και της κύριας ψηφιακής δημιουργίας δεσμεύει κεφάλαια και ανθρώπινους πόρους για χρόνια, αυξάνοντας κατακόρυφα το επιχειρηματικό ρίσκο των ελληνικών οπτικοακουστικών επιχειρήσεων.</w:t>
      </w:r>
    </w:p>
    <w:p/>
    <w:p/>
    <w:p>
      <w:pPr/>
      <w:r>
        <w:rPr/>
        <w:t xml:space="preserve">Για τους λόγους αυτούς, ζητούμε την αυτόματη ένταξη του animation στο καθεστώς των δύσκολων έργων, ώστε να ξεκλειδώσουν τα ανώτατα προβλεπόμενα ποσοστά ένταξης της κρατικής ενίσχυσης και να διασφαλιστεί η βιωσιμότητα των ελληνικών παραγωγών.</w:t>
      </w:r>
    </w:p>
    <w:p/>
    <w:p>
      <w:pPr/>
      <w:r>
        <w:rPr/>
        <w:t xml:space="preserve">_________________</w:t>
      </w:r>
    </w:p>
    <w:p/>
    <w:p>
      <w:pPr/>
      <w:r>
        <w:rPr/>
        <w:t xml:space="preserve">Άρθρο 78 παρ.7β</w:t>
      </w:r>
    </w:p>
    <w:p/>
    <w:p>
      <w:pPr/>
      <w:r>
        <w:rPr/>
        <w:t xml:space="preserve">Ανισορροπία με τα διεθνή πρότυπα τηλεοπτικών σειρών κινουμένων σχεδίων.</w:t>
      </w:r>
    </w:p>
    <w:p/>
    <w:p/>
    <w:p>
      <w:pPr/>
      <w:r>
        <w:rPr/>
        <w:t xml:space="preserve">Όσον αφορά την παραγωγή σειρών, είναι σημαντικό να ληφθεί υπόψη ότι η προϋπόθεση για όριο 16 επεισοδίων ανά έργο βρίσκεται σε αναντιστοιχία με τα διεθνή και ευρωπαϊκά πρότυπα των προγραμμάτων animation και αποτρέπει τις ξένες συμπαραγωγές, καθώς και την εξαγωγή ελληνικών σειρών στη διεθνή αγορά:</w:t>
      </w:r>
    </w:p>
    <w:p/>
    <w:p>
      <w:pPr/>
      <w:r>
        <w:rPr/>
        <w:t xml:space="preserve">26 επεισόδια: Μισή τηλεοπτική σεζόν / 6 μήνες.</w:t>
      </w:r>
    </w:p>
    <w:p/>
    <w:p>
      <w:pPr/>
      <w:r>
        <w:rPr/>
        <w:t xml:space="preserve">52 επεισόδια: Πλήρης τηλεοπτική σεζόν / 1 έτος.</w:t>
      </w:r>
    </w:p>
    <w:p/>
    <w:p>
      <w:pPr/>
      <w:r>
        <w:rPr/>
        <w:t xml:space="preserve">11 έως 13 επεισόδια: Κυρίως για πλατφόρμες όπως το Netflix ή για animation ενηλίκων.</w:t>
      </w:r>
    </w:p>
    <w:p/>
    <w:p>
      <w:pPr/>
      <w:r>
        <w:rPr/>
        <w:t xml:space="preserve">1-10 επεισόδια: One off σειρές με συγκεκριμένα θεματολογία για online πλατφόρμες. </w:t>
      </w:r>
    </w:p>
    <w:p/>
    <w:p/>
    <w:p>
      <w:pPr/>
      <w:r>
        <w:rPr/>
        <w:t xml:space="preserve">Επίσης χωρίζεται σε συγκεκριμένες κατηγορίες διάρκειας:</w:t>
      </w:r>
    </w:p>
    <w:p/>
    <w:p>
      <w:pPr/>
      <w:r>
        <w:rPr/>
        <w:t xml:space="preserve">3 έως 7 λεπτά: Κυρίως για προσχολική ηλικία.</w:t>
      </w:r>
    </w:p>
    <w:p/>
    <w:p>
      <w:pPr/>
      <w:r>
        <w:rPr/>
        <w:t xml:space="preserve">11 λεπτά: Το πιο διαδεδομένο παγκοσμίως φορμάτ για παιδιά 6-9 ετών.</w:t>
      </w:r>
    </w:p>
    <w:p/>
    <w:p>
      <w:pPr/>
      <w:r>
        <w:rPr/>
        <w:t xml:space="preserve">22 λεπτά: Για εφήβους και ενήλικες.</w:t>
      </w:r>
    </w:p>
    <w:p/>
    <w:p>
      <w:pPr/>
      <w:r>
        <w:rPr/>
        <w:t xml:space="preserve">έως 44 λεπτά: Ωριαίο Φορματ </w:t>
      </w:r>
    </w:p>
    <w:p/>
    <w:p/>
    <w:p>
      <w:pPr/>
      <w:r>
        <w:rPr/>
        <w:t xml:space="preserve">Συνακόλουθα, ζητούμε την πλήρη εξαίρεση του animation από το ανώτατο όριο αριθμού επεισοδίων που χρηματοδοτούνται.</w:t>
      </w:r>
    </w:p>
    <w:p/>
    <w:p/>
    <w:p>
      <w:pPr/>
      <w:r>
        <w:rPr/>
        <w:t xml:space="preserve">Ταυτόχρονα, οι ελάχιστες εγχώριες επιλέξιμες δαπάνες (Ε.Ε.Ε.Δ.) ύψους 80.000€ ανά παραγόμενο επεισόδιο,  βρίσκεται σε αναντιστοιχία με την πραγματικότητα των ελληνικών χρηματοδοτήσεων, καθώς και μεγάλου μέρους των ευρωπαϊκών χρηματοδοτήσεων, ειδικά χωρών που θεωρούνται από το Creative Europe MEDIA ως χώρες χαμηλής οπτικοακουστικής ικανότητας (Low audiovisual capacity countries), στις οποίες ανήκει και η Ελλάδα. </w:t>
      </w:r>
    </w:p>
    <w:p/>
    <w:p/>
    <w:p>
      <w:pPr/>
      <w:r>
        <w:rPr/>
        <w:t xml:space="preserve">Ως εκ τούτου, εισηγούμαστε οι ειδικές προϋποθέσεις επιλεξιμότητας που αφορούν το animation να μην καθοριστούν οριστικά στο νομοσχέδιο, αλλά να αποτελέσουν αντικείμενο στοχευμένης διαβούλευσης στο πλαίσιο της σχετικής Κοινής Υπουργικής Απόφασης (ΚΥΑ) για τα έργα κινουμένων σχεδίων, καθώς πρόκειται για ζητήματα που απαιτούν ουσιαστικό διάλογο με τους επαγγελματίες του κλάδου ώστε το τελικό κανονιστικό πλαίσιο να ανταποκρίνεται στις ιδιαίτερες ανάγκες της παραγωγικής διαδικασίας.</w:t>
      </w:r>
    </w:p>
    <w:p/>
    <w:p>
      <w:pPr/>
      <w:r>
        <w:rPr/>
        <w:t xml:space="preserve">________________</w:t>
      </w:r>
    </w:p>
    <w:p/>
    <w:p>
      <w:pPr/>
      <w:r>
        <w:rPr/>
        <w:t xml:space="preserve">Άρθρο 78 παρ.7ε</w:t>
      </w:r>
    </w:p>
    <w:p/>
    <w:p>
      <w:pPr/>
      <w:r>
        <w:rPr/>
        <w:t xml:space="preserve">Όσον αφορά τα οπτικοακουστικά έργα δεκαεπτά (17) επεισοδίων και άνω, επισημαίνουμε οτι ανεξαρτήτως ανώτατου αριθμού επεισοδίων δεν υπάρχει καμία αναφορά σε έργα κινουμένων σχεδίων ενώ γίνεται ειδική μνεία στην παρ.7β.</w:t>
      </w:r>
    </w:p>
    <w:p/>
    <w:p>
      <w:pPr/>
      <w:r>
        <w:rPr/>
        <w:t xml:space="preserve">_________________</w:t>
      </w:r>
    </w:p>
    <w:p/>
    <w:p>
      <w:pPr/>
      <w:r>
        <w:rPr/>
        <w:t xml:space="preserve">Άρθρο 84 Παρ. 4</w:t>
      </w:r>
    </w:p>
    <w:p/>
    <w:p>
      <w:pPr/>
      <w:r>
        <w:rPr/>
        <w:t xml:space="preserve">Στο νέο σχέδιο νόμου τίθενται πολύ στενές και ως εκ τούτου ανεφάρμοστες προθεσμίες από την προέγκριση έως την οριστικοποίηση του φακέλου, που δεν ανταποκρίνονται στην πραγματικότητα του κλάδου των κινουμένων σχεδίων. Για το λόγο αυτό, προτείνουμε να παραμείνει τουλάχιστον στα 3 χρόνια, όπως ισχύει βάση του τρέχοντος κανονισμού και είναι ούτως ή άλλως οριακή.</w:t>
      </w:r>
    </w:p>
    <w:p/>
    <w:p>
      <w:pPr/>
      <w:r>
        <w:rPr/>
        <w:t xml:space="preserve">_______________</w:t>
      </w:r>
    </w:p>
    <w:p/>
    <w:p>
      <w:pPr/>
      <w:r>
        <w:rPr/>
        <w:t xml:space="preserve">Άρθρο 103 </w:t>
      </w:r>
    </w:p>
    <w:p/>
    <w:p>
      <w:pPr/>
      <w:r>
        <w:rPr/>
        <w:t xml:space="preserve">Η Ιδιαίτερη σημασία του προγράμματος «CRGR-Animate» και επιπτώσεις της κατάργησης του.</w:t>
      </w:r>
    </w:p>
    <w:p/>
    <w:p/>
    <w:p>
      <w:pPr/>
      <w:r>
        <w:rPr/>
        <w:t xml:space="preserve">Η ASIFA Hellas (Ελληνικής Ένωση Κινουμένων Σχεδίων),  εκφράζει την έντονη ανησυχία της σχετικά με την κατάργηση του εξειδικευμένου και αυτοτελούς προγράμματος «CRGR-Animate» και την οριζόντια ενσωμάτωσή του στο ενιαίο καθεστώς «FTV GREECE».</w:t>
      </w:r>
    </w:p>
    <w:p/>
    <w:p/>
    <w:p>
      <w:pPr/>
      <w:r>
        <w:rPr/>
        <w:t xml:space="preserve">Το πρόγραμμα «CRGR-Animate» που θεσμοθετήθηκε στις 6 Ιανουαρίου 2026 και άνοιξε για υποβολές αιτήσεων στην πλατφόρμα στις 28 Απριλίου 2026, αποτέλεσε ένα ιστορικό ορόσημο για την εγχώρια παραγωγή, όπου για πρώτη φορά η Ελληνική Πολιτεία αναγνώρισε τις δομικές ιδιαιτερότητες του animation, προσφέροντας ένα στοχευμένο χρηματοδοτικό εργαλείο και αυτό έτυχε ενθουσιώδους διεθνούς αποδοχής.</w:t>
      </w:r>
    </w:p>
    <w:p/>
    <w:p>
      <w:pPr/>
      <w:r>
        <w:rPr/>
        <w:t xml:space="preserve">Η ανακοίνωση και έναρξη του προγράμματος δημιούργησε ουσιαστικές προσδοκίες ανάπτυξης και έχει ήδη ωθήσει την εκκίνηση νέων παραγωγών, οι οποίες προετοιμάζονται να ενταχθούν σε αυτό. Έχουν ήδη προσεγγίσει εταίρους για διεθνείς συμπαραγωγές, έχοντας πια τις κατάλληλες προϋποθέσεις και κίνητρα που αρμόζουν και χαρακτηρίζουν την υλοποίηση ενός έργου κινουμένων σχεδίων.</w:t>
      </w:r>
    </w:p>
    <w:p/>
    <w:p>
      <w:pPr/>
      <w:r>
        <w:rPr/>
        <w:t xml:space="preserve">Το «CRGR-Animate» έστειλε ένα ξεκάθαρο μήνυμα στο εξωτερικό, ότι η Ελλάδα επενδύει πλέον στοχευμένα και στρατηγικά στον κλάδο του animation. Η κατάργηση της αυτόνομης χρηματοδοτικής δομής σε τόσο σύντομο χρονικό διάστημα (3 μήνες) από την έναρξη λειτουργίας του, χωρίς να δοθεί ο απαραίτητος χρόνος ωρίμανσης του στην κοινότητα και στη διεθνή οπτικοακουστική βιομηχανία,του κλονίζει την αξιοπιστία του επενδυτικού πλαισίου και ανακόπτει από το Ελληνικό Animation την ώθηση που μόλις του δόθηκε, χωρίς να προλάβει να την αξιοποιήσει εμπράκτως.</w:t>
      </w:r>
    </w:p>
    <w:p/>
    <w:p>
      <w:pPr/>
      <w:r>
        <w:rPr/>
        <w:t xml:space="preserve">Οι παραγωγές animation καλούνται ξανά να ανταγωνιστούν άμεσα, για την ίδια δεξαμενή κονδυλίων, τα διεθνή και εγχώρια οπτικοακουστικά έργα ζωντανής δράσης (live action), χωρίς να λαμβάνεται υπόψη η εκ φύσεως απολύτως διαφορετική δομή και η αλυσίδα παραγωγής των κινουμένων σχεδίων.</w:t>
      </w:r>
    </w:p>
    <w:p/>
    <w:p>
      <w:pPr/>
      <w:r>
        <w:rPr/>
        <w:t xml:space="preserve">_____________________</w:t>
      </w:r>
    </w:p>
    <w:p/>
    <w:p>
      <w:pPr/>
      <w:r>
        <w:rPr/>
        <w:t xml:space="preserve">H ASIFA Hellas δηλώνει ότι συντάσσεται με τις τεκμηριωμένες παρατηρήσεις που έχουν διατυπωθεί από τον ΣΑΠΟΕ (Σύνδεσμος Ανεξάρτητων Παραγωγών Οπτικοακουστικών Έργων) αναφορικά με τα θέματα της λειτουργία του νέου καθεστώτος Cash Rebate («FTV GREECE») καθώς και του "Επιλεκτικού Προγράμματος Ενίσχυσης Οπτικοακουστικών Έργων" .</w:t>
      </w:r>
    </w:p>
    <w:p/>
    <w:p>
      <w:pPr/>
      <w:r>
        <w:rPr>
          <w:b w:val="1"/>
          <w:bCs w:val="1"/>
        </w:rPr>
        <w:t xml:space="preserve">σ********* – 19 Ιουλίου 2026, 23:34</w:t>
      </w:r>
    </w:p>
    <w:p>
      <w:pPr/>
      <w:r>
        <w:rPr/>
        <w:t xml:space="preserve">Τα τελευταία πέντε χρόνια, το σύστημα με τους ανεξάρτητους αξιολογητές (readers) έχει λειτουργήσει θετικά, βελτιώνοντας τόσο τους χρόνους απόκρισης του φορέα, όσο και την αξιοπιστία των αξιολογήσεων. Λαμβάνοντας υπόψη ότι, δεν έχουν υπάρξει τα τελευταία χρόνια σημαντικές ενστάσεις για τον τρόπο αξιολόγησης των αιτήσεων χρηματοδότησης, προκαλεί απορία η σύσταση μίας νέας κεντρικής επιτροπής αξιολόγησης (άρθρο 85), η οποία φαίνεται να ακυρώνει, ή τουλάχιστον να μειώνει σημαντικά, τον ρόλο των προϊσταμένων των μονάδων αλλά και των readers. Δεν είναι σαφές ούτε για ποιο λόγο συστήνεται η νέα επιτροπή αξιολόγησης του άρθρου 85 και ποια ανάγκη καλύπτει, ούτε πώς θα λειτουργεί σε σχέση με την εισήγηση των προϊσταμένων και τις αξιολογήσεις των readers. Εφόσον, σύμφωνα με το αρ.85, παρ. 4δ, η νέα επιτροπή εγκρίνει ή απορρίπτει αιτήσεις χρηματοδότησης, αυτό δεν ακυρώνει τόσο τις εισηγήσεις των προϊσταμένων, όσο και τις αξιολογήσεις των readers; </w:t>
      </w:r>
    </w:p>
    <w:p/>
    <w:p>
      <w:pPr/>
      <w:r>
        <w:rPr/>
        <w:t xml:space="preserve">Επιπροσθέτως, δεν γίνεται κατανοητό *τί* ακριβώς θα αξιολογεί η νέα επιτροπή ώστε να εγκρίνει ή να απορρίπτει προτάσεις και να κατανέμει τα ποσά. Θα έχει τον χρόνο να εξετάζει η επιτροπή αυτή, που θα απαρτίζεται από διοικητικούς του ΕΚΚΟΜΕΔ και επικεφαλής άλλων δημόσιων φορέων, το σύνολο των κατατεθειμένων προτάσεων (δηλαδή σενάρια ή/και αναλυτικούς φακέλους παραγωγής) ώστε να παίρνει την ευθύνη των τελικών αποφάσεων, ενδεχομένως ενάντια στις εισηγήσεις των προϊσταμένων, που βασίζονται με τη σειρά τους, εν πολλοίς, στις αξιολογήσεις των readers; Αν ναι, αυτό φαίνεται να ακυρώνει τον ρόλο των αξιολογητών. Αν όχι, δημιουργούνται ερωτηματικά για το κατά πόσο οι αποφάσεις της επιτροπής θα είναι τεκμηριωμένες και ως εκ τούτου δίκαιες και βάσιμες. </w:t>
      </w:r>
    </w:p>
    <w:p/>
    <w:p>
      <w:pPr/>
      <w:r>
        <w:rPr/>
        <w:t xml:space="preserve">Το νομοσχέδιο θα έπρεπε να εξηγεί πλήρως και εμπεριστατωμένα τη χρησιμότητα της νέας κεντρικής επιτροπής, καθώς και τον λεπτομερή τρόπο λειτουργίας της. Ως έχει το άρθρο δημιουργεί εύλογα ερωτήματα για τη διαφάνεια και την αξιοπιστία της επιτροπής αυτής και είναι καλύτερο να αποσυρθεί.</w:t>
      </w:r>
    </w:p>
    <w:p/>
    <w:p>
      <w:pPr/>
      <w:r>
        <w:rPr/>
        <w:t xml:space="preserve">Τέλος, σημαντικές αμφιβολίες για την αξιοπιστία των αξιολογήσεων δημιουργεί και το άρθρο 88, παρ.3 (β,γ,δ,ε). Είναι προφανές ότι η καλλιτεχνική αξιολόγηση των αιτήσεων χρηματοδοτήσεων θα πρέπει να γίνεται μόνο από επαγγελματίες από τον χώρο του κινηματογράφου/των οπτικοακουστικών.</w:t>
      </w:r>
    </w:p>
    <w:p/>
    <w:p>
      <w:pPr/>
      <w:r>
        <w:rPr>
          <w:b w:val="1"/>
          <w:bCs w:val="1"/>
        </w:rPr>
        <w:t xml:space="preserve">ΕΝΩΣΗ ΣΚΗΝΟΘΕΤΩΝ ΔΗΜΙΟΥΡΓΩΝ – 19 Ιουλίου 2026, 23:40</w:t>
      </w:r>
    </w:p>
    <w:p>
      <w:pPr/>
      <w:r>
        <w:rPr/>
        <w:t xml:space="preserve">ΑΠΟΣΥΡΣΗ ΤΟΥ ΝΟΜΟΣΧΕΔΙΟΥ ΓΙΑ ΤΟΝ ΟΠΤΙΚΟΑΚΟΥΣΤΙΚΟ ΤΟΜΕΑ</w:t>
      </w:r>
    </w:p>
    <w:p/>
    <w:p/>
    <w:p>
      <w:pPr/>
      <w:r>
        <w:rPr/>
        <w:t xml:space="preserve"> Στις 7 Ιουλίου 2026 τέθηκε σε δημόσια διαβούλευση το σχέδιο νόμου του Υπουργείου Πολιτισμού που περιλαμβάνει, στο Μέρος Δ΄, την πλήρη αναδιατύπωση του θεσμικού πλαισίου χρηματοδότησης του ελληνικού κινηματογράφου και του οπτικοακουστικού τομέα. Η Ένωση Σκηνοθετών Δημιουργών Οπτικοακουστικών και Παραστατικών Τεχνών (ΕΣΔ) εκφράζει την κατηγορηματική της αντίθεση και ζητά την άμεση απόσυρσή του. Δεν είναι η πρώτη φορά που η ΕΣΔ στέκεται απέναντι σε αυτή την κατεύθυνση. Είχαμε εκφράσει την αντίθεσή μας στην ίδια αρχιτεκτονική ήδη από το 2024, με την ψήφιση του ν. 5105/2024 και τη συγχώνευση ΕΚΚ–ΕΚΟΜΕ στον σημερινό ΕΚΚΟΜΕΔ. Έναν χρόνο μετά, τον περασμένο Νοέμβριο, διοργανώσαμε ανοιχτή συζήτηση στο Φεστιβάλ Κινηματογράφου Θεσσαλονίκης, με θέμα τις πρώτες διαπιστώσεις από τη λειτουργία του νέου υπερ-οργανισμού. Ο ΕΚΚΟΜΕΔ διαχειρίζεται σήμερα χαρτοφυλάκιο μεγαλύτερο από αυτό πολλών υφυπουργών, αλλά και αρκετών υπουργών. Δεν καλύπτει πλέον μόνο τον κινηματογράφο. Καλύπτει το σύνολο του θεάματος-ακροάματος, τις ψηφιακές μορφές δημιουργίας , εικονική πραγματικότητα, τεχνητή νοημοσύνη, ψηφιακές πλατφόρμες, βιντεοπαιχνίδια, πολιτιστική διπλωματία. Σε 18.269 λέξεις του νομοσχεδίου για τον ΕΚΚΟΜΕΔ που διαχειρίζονται €750 εκατ. δημόσιου χρήματος ο σκηνοθέτης εμφανίζεται 4 φορές, ο σεναριογράφος 1, ο ηθοποιός 1(ως "πρωταγωνιστικών ρόλων"), ο ερμηνευτής 1, ο τεχνικός (ως πρόσωπο) 1, ο εργαζόμενος 3 (αποκλειστικά προσωπικό ΕΚΚΟΜΕΔ), ο δημιουργός ως πρόσωπο 3 (μόνο ως δηλώσεις σκοπού). Το νομοσχέδιο προχωρά ακόμα περισσότερο στην εμπορευματοποίηση της κινηματογραφικής τέχνης, αντιμετωπίζει τον κινηματογράφο ως επενδυτικό σχέδιο, όχι ως τέχνη με  ιδιαιτερότητές στο πλαίσιο της παραγωγής της. Η χρηματοδότηση συγκεντρώνεται σε συντριπτικό ποσοστό στο επενδυτικό εργαλείο (cash rebate), ενώ τα προγράμματα με πραγματικά καλλιτεχνικά κριτήρια παραμένουν στο περιθώριο ενός πολύ μικρότερου προϋπολογισμού. Το 1986: ο ν. 1597/1986, άρθρο 1 §1-2, όριζε ρητά ότι «η προστασία της κινηματογραφικής τέχνης αποτελεί υποχρέωση του Κράτους» και ότι «το Κράτος οφείλει να παίρνει τα αναγκαία μέτρα για την ηθική και υλική ενίσχυση». Ο ίδιος νόμος, στο άρθρο 2 §1 (μεταφέρθηκε αυτούσιο στο άρθρο 1 §2 του ν. 3905/2010), προσέθετε: «Η κινηματογραφική τέχνη είναι ελεύθερη... Η λογοκρισία και κάθε άλλο προληπτικό μέτρο απαγορεύεται». Το 2026 δεν υπάρχει καμία αντίστοιχη διάταξη ούτε θετική υποχρέωση στήριξης, ούτε αρνητική εγγύηση κατά της παρέμβασης. Παράλληλα, η δυνατότητα ανάκλησης ήδη εγκεκριμένης χρηματοδότησης «για λόγους δημοσίου συμφέροντος» χωρίς ο νόμος να ορίζει πουθενά τι ακριβώς αυτό σημαίνει, λειτουργεί ως εργαλείο ελέγχου και λογοκρισίας μέσω επιλεκτικής χρηματοδότησης και επιλεκτικής ανάκλησης. Κανένα έργο δεν μπορεί να θεωρείται πραγματικά ασφαλές όταν η τύχη του εξαρτάται από μια τόσο ασαφή, πολιτικά προσαρμόσιμη ρήτρα, εφαρμόσιμη από μια Επιτροπή Αξιολόγησης η οποία είναι η ίδια ελεγχόμενη. Στην πλειοψηφία τους, άμεσα ή έμμεσα, τα μέλη της σχετίζονται με το Υπουργείο Πολιτισμού. Το βάρος αυτής της ασυμμετρίας γίνεται ακόμη πιο εμφανές αν δει κανείς τι προβλέπεται όταν μια χρηματοδότηση πράγματι ανακαλείται. Η ίδια η Ανάλυση Συνεπειών Ρύθμισης του νομοσχεδίου διευκρινίζει ότι τέτοιες αποφάσεις συνοδεύονται από «ρητή πρόβλεψη ότι δεν γεννάται δικαίωμα αποζημίωσης» για τον θιγόμενο δικαιούχο. Η ίδια η κυβέρνηση αναγνωρίζει, δηλαδή, και θωρακίζει νομικά αυτή την ασυμμετρία εξουσίας, αντί να την περιορίζει. Το ίδιο το σχέδιο νόμου, τέλος, συγκεντρώνει ιδιαίτερα ευρείες αρμοδιότητες στο πρόσωπο του Διευθύνοντος Συμβούλου του ΕΚΚΟΜΕΔ· η υπερσυγκέντρωση εξουσίας σε ένα μοναδικό, μη αιρετό διοικητικό στέλεχος περιορίζει ακόμη περισσότερο τον έλεγχο. Και μέσα σε αυτό το πλαίσιο, ακόμη και η έννοια του «επιλεκτικού» για τον ελληνικό κινηματογράφο διαλύεται, καθώς μπορούν να ενταχθούν σε αυτό «ψηφιακά παιχνίδια (gaming), τεχνολογίες εμβύθισης (XR, VR, AR)... και κάθε άλλη καινοτόμο μορφή» μια ρήτρα σκόπιμα απεριόριστη, που επιτρέπει σε πόρους αποκλειστικά προορισμένους για τον ελληνικό κινηματογράφο να διοχετεύονται και αλλού. Αν η κυβέρνηση επιθυμούσε πραγματικά να προχωρήσει στις αναγκαίες βελτιώσεις της κινηματογραφικής πολιτικής και ενίσχυσης του οπτικοακουστικού τομέα, όφειλε να συνομιλήσει με τους ίδιους τους δημιουργούς και τους εργαζόμενους του οπτικοακουστικού χώρου, με τα σωματεία, τους φορείς. Πρέπει να γίνει κατανοητό: κάθε νόμος που σχεδιάζεται επί χάρτου από γραφειοκρατικές μειοψηφίες επηρεάζει τις ζωές μας και την ποιότητα του εγχώριου πολιτιστικού έργου, και δεν μπορεί να μας έρχεται στα μουλωχτά, με συνοπτικές διαδικασίες, χωρίς την ουσιαστική συμμετοχή των άμεσα ενδιαφερομένων. </w:t>
      </w:r>
    </w:p>
    <w:p/>
    <w:p/>
    <w:p>
      <w:pPr/>
      <w:r>
        <w:rPr/>
        <w:t xml:space="preserve">ΖΗΤΑΜΕ: Την άμεση απόσυρση του νομοσχεδίου. Μετά την κατάργηση του ΕΚΚ, θεωρούμε ότι πρέπει να δημιουργηθεί ενιαίος φορέας παραγωγής και διανομής της εθνικής κινηματογραφίας, διακριτός από κάθε επενδυτικό εργαλείο προσέλκυσης ξένων κεφαλαίων. Μέχρι τότε, το ελάχιστο που θα μπορούσαμε να δεχθούμε ως υποχώρηση είναι: θεσμοθετημένη χρηματοδότηση των επιλεκτικών προγραμμάτων στα 16 εκατομμύρια ευρώ τον χρόνο, για την υλική ενίσχυση της κινηματογραφικής τέχνης , ως κατώτατο όριο, με δεσμευμένο κωδικό προϋπολογισμού αποκλειστικά για τον κινηματογράφο, και θεσμοθέτηση αναλογικής ποσόστωσης υπέρ των επιλεκτικών προγραμμάτων. Υποχρεωτική συνεισφορά 2–5% επί των εγχώριων εσόδων κάθε πλατφόρμας streaming προς όφελος της ελληνικής κινηματογραφικής τέχνης. Σταθερή κρατική χρηματοδότηση του πολιτισμού στο 2% του προϋπολογισμού, με δεσμευμένο κωδικό για την ελληνική κινηματογραφία. Η υπεράσπιση της καλλιτεχνικής δημιουργίας δεν είναι υπόθεση μόνο των συντελεστών και των εργαζομένων του οπτικοακουστικού χώρου αφορά κάθε πολίτη που θέλει να ζει σε έναν τόπο με ζωντανό, ελεύθερο πολιτισμό. </w:t>
      </w:r>
    </w:p>
    <w:p/>
    <w:p/>
    <w:p>
      <w:pPr/>
      <w:r>
        <w:rPr/>
        <w:t xml:space="preserve">Το Δ.Σ. της ΕΝΩΣΗΣ ΣΚΗΝΟΘΕΤΩΝ ΔΗΜΙΟΥΡΓΩΝ ΟΠΤΙΚΟΑΚΟΥΣΤΙΚΩΝ ΚΑΙ ΠΑΡΑΣΤΑΤΙΚΩΝ ΤΕΧΝΩΝ</w:t>
      </w:r>
    </w:p>
    <w:p/>
    <w:p>
      <w:pPr/>
      <w:r>
        <w:rPr>
          <w:b w:val="1"/>
          <w:bCs w:val="1"/>
        </w:rPr>
        <w:t xml:space="preserve">Ε.Κ.Β.Ε. / ΕΝΩΣΗ ΚΙΝΗΜΑΤΟΓΡΑΦΙΣΤΩΝ Β.Ε. – 19 Ιουλίου 2026, 23:46</w:t>
      </w:r>
    </w:p>
    <w:p>
      <w:pPr/>
      <w:r>
        <w:rPr/>
        <w:t xml:space="preserve">ΥΠΟΜΝΗΜΑ ΕΠΙ ΤΗΣ ΔΗΜΟΣΙΑΣ ΔΙΑΒΟΥΛΕΥΣΗΣ</w:t>
      </w:r>
    </w:p>
    <w:p/>
    <w:p>
      <w:pPr/>
      <w:r>
        <w:rPr/>
        <w:t xml:space="preserve">Θέσεις της Ε.Κ.Β.Ε. για τις ρυθμίσεις που αφορούν το Ε.Κ.Κ.Ο.ΜΕ.Δ. στο σχέδιο νόμου «Hellenic Heritage»</w:t>
      </w:r>
    </w:p>
    <w:p/>
    <w:p/>
    <w:p>
      <w:pPr/>
      <w:r>
        <w:rPr/>
        <w:t xml:space="preserve">Η Ένωση Κινηματογραφιστών Βορείου Ελλάδος (Ε.Κ.Β.Ε.) εκφράζει την έντονη αντίθεσή της στις προτεινόμενες ρυθμίσεις για το Ε.Κ.Κ.Ο.ΜΕ.Δ., καθώς μεταβάλλουν ουσιωδώς τον προσανατολισμό του φορέα και το θεσμικό πλαίσιο στήριξης της οπτικοακουστικής παραγωγής στην Ελλάδα.</w:t>
      </w:r>
    </w:p>
    <w:p/>
    <w:p/>
    <w:p>
      <w:pPr/>
      <w:r>
        <w:rPr/>
        <w:t xml:space="preserve">Παράλληλα, θεωρούμε απαράδεκτο ένα τόσο εκτεταμένο και σύνθετο νομοθέτημα —περισσότερα από τριάντα 30(!)πυκνογραμμένα άρθρα— να τίθεται σε δημόσια διαβούλευση για μόλις δεκατρείς (13) ημέρες.</w:t>
      </w:r>
    </w:p>
    <w:p/>
    <w:p/>
    <w:p>
      <w:pPr/>
      <w:r>
        <w:rPr/>
        <w:t xml:space="preserve">Η διαδικασία είναι βεβιασμένη και δεν παρέχει στους επαγγελματικούς φορείς, στους δημιουργούς, στους εργαζομένους και στις επιχειρήσεις του κλάδου τον αναγκαίο χρόνο ώστε να αξιολογήσουν τις συνέπειες των διατάξεων και να καταθέσουν ολοκληρωμένες, τεκμηριωμένες προτάσεις.</w:t>
      </w:r>
    </w:p>
    <w:p/>
    <w:p/>
    <w:p>
      <w:pPr/>
      <w:r>
        <w:rPr/>
        <w:t xml:space="preserve">Ενδεικτικά εντοπίσαμε κάποια σημεία.</w:t>
      </w:r>
    </w:p>
    <w:p/>
    <w:p/>
    <w:p>
      <w:pPr/>
      <w:r>
        <w:rPr/>
        <w:t xml:space="preserve">1. Αλλοίωση του αρχικού σκοπού του Cash Rebate</w:t>
      </w:r>
    </w:p>
    <w:p/>
    <w:p>
      <w:pPr/>
      <w:r>
        <w:rPr/>
        <w:t xml:space="preserve">Ο Ν. 4487/2017 θέσπισε το Cash Rebate ως αναπτυξιακό και επενδυτικό εργαλείο, με σαφείς στόχους:</w:t>
      </w:r>
    </w:p>
    <w:p/>
    <w:p>
      <w:pPr/>
      <w:r>
        <w:rPr/>
        <w:t xml:space="preserve">την προσέλκυση διεθνών παραγωγών,</w:t>
      </w:r>
    </w:p>
    <w:p/>
    <w:p>
      <w:pPr/>
      <w:r>
        <w:rPr/>
        <w:t xml:space="preserve">την ανάπτυξη της ελληνικής οπτικοακουστικής βιομηχανίας,</w:t>
      </w:r>
    </w:p>
    <w:p/>
    <w:p>
      <w:pPr/>
      <w:r>
        <w:rPr/>
        <w:t xml:space="preserve">τη δημιουργία σταθερών θέσεων εργασίας,</w:t>
      </w:r>
    </w:p>
    <w:p/>
    <w:p>
      <w:pPr/>
      <w:r>
        <w:rPr/>
        <w:t xml:space="preserve">τη μεταφορά τεχνογνωσίας,</w:t>
      </w:r>
    </w:p>
    <w:p/>
    <w:p>
      <w:pPr/>
      <w:r>
        <w:rPr/>
        <w:t xml:space="preserve">την ενίσχυση της εξωστρέφειας,</w:t>
      </w:r>
    </w:p>
    <w:p/>
    <w:p>
      <w:pPr/>
      <w:r>
        <w:rPr/>
        <w:t xml:space="preserve">την αξιοποίηση ελληνικών συνεργείων, επιχειρήσεων και υποδομών.</w:t>
      </w:r>
    </w:p>
    <w:p/>
    <w:p>
      <w:pPr/>
      <w:r>
        <w:rPr/>
        <w:t xml:space="preserve">Το υπό διαβούλευση σχέδιο νόμου μετατοπίζει τον μηχανισμό από τον αρχικό αναπτυξιακό του σκοπό προς ένα γενικευμένο σύστημα επιδότησης τηλεοπτικού περιεχομένου.</w:t>
      </w:r>
    </w:p>
    <w:p/>
    <w:p>
      <w:pPr/>
      <w:r>
        <w:rPr/>
        <w:t xml:space="preserve">Η μετατόπιση αυτή δεν αποτελεί απλή διεύρυνση. Αποτελεί ουσιαστική αλλαγή της ταυτότητας και της αποστολής του Cash Rebate.</w:t>
      </w:r>
    </w:p>
    <w:p/>
    <w:p>
      <w:pPr/>
      <w:r>
        <w:rPr/>
        <w:t xml:space="preserve">2. Επιλεξιμότητα πρωινών εκπομπών, reality και τηλεπαιχνιδιών</w:t>
      </w:r>
    </w:p>
    <w:p/>
    <w:p>
      <w:pPr/>
      <w:r>
        <w:rPr/>
        <w:t xml:space="preserve">Το σχέδιο νόμου ανοίγει τη δυνατότητα χρηματοδότησης για:</w:t>
      </w:r>
    </w:p>
    <w:p/>
    <w:p>
      <w:pPr/>
      <w:r>
        <w:rPr/>
        <w:t xml:space="preserve">ψυχαγωγικές εκπομπές,</w:t>
      </w:r>
    </w:p>
    <w:p/>
    <w:p>
      <w:pPr/>
      <w:r>
        <w:rPr/>
        <w:t xml:space="preserve">εκπομπές λόγου,</w:t>
      </w:r>
    </w:p>
    <w:p/>
    <w:p>
      <w:pPr/>
      <w:r>
        <w:rPr/>
        <w:t xml:space="preserve">τηλεπαιχνίδια,</w:t>
      </w:r>
    </w:p>
    <w:p/>
    <w:p>
      <w:pPr/>
      <w:r>
        <w:rPr/>
        <w:t xml:space="preserve">talent shows,</w:t>
      </w:r>
    </w:p>
    <w:p/>
    <w:p>
      <w:pPr/>
      <w:r>
        <w:rPr/>
        <w:t xml:space="preserve">reality και scripted reality,</w:t>
      </w:r>
    </w:p>
    <w:p/>
    <w:p>
      <w:pPr/>
      <w:r>
        <w:rPr/>
        <w:t xml:space="preserve">εφόσον χαρακτηριστούν ως προγράμματα «πολιτιστικού χαρακτήρα».</w:t>
      </w:r>
    </w:p>
    <w:p/>
    <w:p>
      <w:pPr/>
      <w:r>
        <w:rPr/>
        <w:t xml:space="preserve">Η πρόβλεψη αυτή προκαλεί σοβαρά ερωτήματα:</w:t>
      </w:r>
    </w:p>
    <w:p/>
    <w:p>
      <w:pPr/>
      <w:r>
        <w:rPr/>
        <w:t xml:space="preserve">Ποιο συγκεκριμένο δημόσιο συμφέρον εξυπηρετεί η επιδότησή τους;</w:t>
      </w:r>
    </w:p>
    <w:p/>
    <w:p>
      <w:pPr/>
      <w:r>
        <w:rPr/>
        <w:t xml:space="preserve">Ποιο καλλιτεχνικό, πολιτιστικό ή αναπτυξιακό αποτέλεσμα παράγουν;</w:t>
      </w:r>
    </w:p>
    <w:p/>
    <w:p>
      <w:pPr/>
      <w:r>
        <w:rPr/>
        <w:t xml:space="preserve">Πώς ενισχύουν την εξωστρέφεια της ελληνικής οπτικοακουστικής βιομηχανίας;</w:t>
      </w:r>
    </w:p>
    <w:p/>
    <w:p>
      <w:pPr/>
      <w:r>
        <w:rPr/>
        <w:t xml:space="preserve">Πώς συμβάλλουν στην προσέλκυση διεθνών παραγωγών και επενδύσεων;</w:t>
      </w:r>
    </w:p>
    <w:p/>
    <w:p>
      <w:pPr/>
      <w:r>
        <w:rPr/>
        <w:t xml:space="preserve">Γιατί πρέπει να χρηματοδοτούνται από τους ίδιους περιορισμένους πόρους που προορίζονται για τον κινηματογράφο και την ανεξάρτητη παραγωγή;</w:t>
      </w:r>
    </w:p>
    <w:p/>
    <w:p>
      <w:pPr/>
      <w:r>
        <w:rPr/>
        <w:t xml:space="preserve">Η ΕΚΒΕ απορρίπτει ως απαράδεκτο το νομοσχέδιο για τις ρυθμίσεις</w:t>
      </w:r>
    </w:p>
    <w:p/>
    <w:p>
      <w:pPr/>
      <w:r>
        <w:rPr>
          <w:b w:val="1"/>
          <w:bCs w:val="1"/>
        </w:rPr>
        <w:t xml:space="preserve">ΕΝΩΣΗ ΕΛΛΗΝΙΚΟΥ ΝΤΟΚΙΜΑΝΤΕΡ – 19 Ιουλίου 2026, 23:55</w:t>
      </w:r>
    </w:p>
    <w:p>
      <w:pPr/>
      <w:r>
        <w:rPr/>
        <w:t xml:space="preserve">ΜΕΡΟΣ Δ΄ ΡΥΘΜΙΣΕΙΣ ΓΙΑ ΤΗΝ ΕΦΑΡΜΟΓΗ ΤΟΥ ΕΘΝΙΚΟΥ ΣΧΕΔΙΟΥ ΔΡΑΣΗΣ ΓΙΑ ΤΗΝ ΑΝΑΠΤΥΞΗ ΤΟΥ ΟΠΤΙΚΟΑΚΟΥΣΤΙΚΟΥ ΔΗΜΙΟΥΡΓΙΚΟΥ ΤΟΜΕΑ (Άρθρα 74-104)</w:t>
      </w:r>
    </w:p>
    <w:p/>
    <w:p/>
    <w:p>
      <w:pPr/>
      <w:r>
        <w:rPr/>
        <w:t xml:space="preserve">Η Ένωση Ελληνικού Ντοκιμαντέρ εκπροσωπεί εκατοντάδες ενεργούς επαγγελματίες όλων των ειδικοτήτων στο χώρο του ντοκιμαντέρ με συνεχή παρουσία στην Ελλάδα και το εξωτερικό και ενεργή συμβολή στην ανάπτυξη της οπτικοακουστικής παραγωγής και του σύγχρονου ελληνικού πολιτισμού.</w:t>
      </w:r>
    </w:p>
    <w:p/>
    <w:p/>
    <w:p>
      <w:pPr/>
      <w:r>
        <w:rPr/>
        <w:t xml:space="preserve">Η ΕΕΝ εκφράζει την διαμαρτυρία της για το ασφυκτικό χρονικό περιθώριο της δημόσιας διαβούλευσης δώδεκα ημερών για ένα νομοσχέδιο που θα καθορίσει το μέλλον της εθνικής κινηματογραφικής πολιτικής. Η διαδικασία απαξιώνει τον ουσιαστικό διάλογο, ιδιαίτερα όταν το κείμενο αγνοεί σε μεγάλο βαθμό τις τεκμηριωμένες προτάσεις που έχουν καταθέσει οι επαγγελματικοί φορείς του κλάδου.</w:t>
      </w:r>
    </w:p>
    <w:p/>
    <w:p/>
    <w:p>
      <w:pPr/>
      <w:r>
        <w:rPr/>
        <w:t xml:space="preserve">Τόσο το Κεφάλαιο Β΄ για το «Cash Rebate Greece» όσο και το Κεφάλαιο Γ΄ για τα Επιλεκτικά Προγράμματα περιλαμβάνουν εξαιρετικά προβληματικές ρυθμίσεις. Απαιτούμε την πλήρη απόσυρση του άρθρου 85 για την Κεντρική Επιτροπή Αξιολόγησης, καθώς και της περ. θ΄ της παρ. 8 του άρθρου 84, που επιτρέπει την ανάκληση χρηματοδότησης για αόριστους λόγους «δημόσιου συμφέροντος». Η διάταξη αυτή αφήνει περιθώρια αυθαίρετων ερμηνειών και ενδέχεται να λειτουργήσει ως μηχανισμός προληπτικής λογοκρισίας. Παρά τη ριζική αντίθεσή μας, θα καταθέσουμε προτάσεις που, κατ’ ελάχιστον, μπορούν να περιορίσουν τις αρνητικές συνέπειες του νομοσχεδίου. </w:t>
      </w:r>
    </w:p>
    <w:p/>
    <w:p/>
    <w:p>
      <w:pPr/>
      <w:r>
        <w:rPr/>
        <w:t xml:space="preserve">Η εθνική κινηματογραφική πολιτική δεν μπορεί να διαμορφώνεται χωρίς ουσιαστική διαβούλευση με την κινηματογραφική κοινότητα. Απαιτούμε ένα θεσμικό πλαίσιο που θα εγγυάται ανεξάρτητη αξιολόγηση, διαφάνεια, λογοδοσία και εμπιστοσύνη στους δημιουργούς και όχι τη συγκέντρωση υπερεξουσιών σε κεντρικά όργανα.</w:t>
      </w:r>
    </w:p>
    <w:p/>
    <w:p>
      <w:pPr/>
      <w:r>
        <w:rPr/>
        <w:t xml:space="preserve">Παρακάτω τα σχόλια μας:</w:t>
      </w:r>
    </w:p>
    <w:p/>
    <w:p/>
    <w:p>
      <w:pPr/>
      <w:r>
        <w:rPr/>
        <w:t xml:space="preserve">Άρθρο 77</w:t>
      </w:r>
    </w:p>
    <w:p/>
    <w:p>
      <w:pPr/>
      <w:r>
        <w:rPr/>
        <w:t xml:space="preserve">Να αντικατασταθεί η κύρωση της ολικής απώλειας της ενίσχυσης με αναλογική αντιμετώπιση, ώστε:</w:t>
      </w:r>
    </w:p>
    <w:p/>
    <w:p>
      <w:pPr/>
      <w:r>
        <w:rPr/>
        <w:t xml:space="preserve">•	οι δαπάνες που πραγματοποιήθηκαν πριν από την ημερομηνία υποβολής της αίτησης να χαρακτηρίζονται ως μη επιλέξιμες, </w:t>
      </w:r>
    </w:p>
    <w:p/>
    <w:p>
      <w:pPr/>
      <w:r>
        <w:rPr/>
        <w:t xml:space="preserve">•	χωρίς να αποκλείεται η επιλεξιμότητα του υπόλοιπου επενδυτικού σχεδίου. </w:t>
      </w:r>
    </w:p>
    <w:p/>
    <w:p>
      <w:pPr/>
      <w:r>
        <w:rPr/>
        <w:t xml:space="preserve">Παράλληλα, να προβλεφθεί ρητά ότι η Χορηγούσα Αρχή οφείλει να τεκμηριώνει με συγκεκριμένα και αντικειμενικά αποδεικτικά στοιχεία την ημερομηνία έναρξης των εργασιών.</w:t>
      </w:r>
    </w:p>
    <w:p/>
    <w:p/>
    <w:p>
      <w:pPr/>
      <w:r>
        <w:rPr/>
        <w:t xml:space="preserve">Άρθρο 78 παρ. 5δ</w:t>
      </w:r>
    </w:p>
    <w:p/>
    <w:p>
      <w:pPr/>
      <w:r>
        <w:rPr/>
        <w:t xml:space="preserve">Στις περιπτώσεις οπτικοακουστικών έργων που αναπτύσσονται και υλοποιούνται από ανεξάρτητη εταιρεία παραγωγής, ακόμη και όταν κύριος παραγωγός ή δικαιούχος των περιουσιακών δικαιωμάτων είναι η Ε.Ρ.Τ. Α.Ε., δικαιούχος της ενίσχυσης μπορεί να ορίζεται η ανεξάρτητη εταιρεία παραγωγής, εφόσον αυτή φέρει την ευθύνη υλοποίησης της παραγωγής και πραγματοποιεί τις επιλέξιμες δαπάνες.</w:t>
      </w:r>
    </w:p>
    <w:p/>
    <w:p/>
    <w:p>
      <w:pPr/>
      <w:r>
        <w:rPr/>
        <w:t xml:space="preserve">Προτείνεται να προστεθεί </w:t>
      </w:r>
    </w:p>
    <w:p/>
    <w:p>
      <w:pPr/>
      <w:r>
        <w:rPr/>
        <w:t xml:space="preserve">Η κρατική ενίσχυση μέσω του Cash Rebate αποτελεί σημαντικό δημόσιο αναπτυξιακό εργαλείο και δεν μπορεί να λειτουργεί ανεξάρτητα από τις υποχρεώσεις που ήδη επιβάλλει η εθνική νομοθεσία στους τηλεοπτικούς οργανισμούς για τη χρηματοδότηση της ελληνικής κινηματογραφικής παραγωγής. Η συμμόρφωση με την υποχρέωση επένδυσης του 1,5% πρέπει να αποτελεί βασική προϋπόθεση επιλεξιμότητας για τη λήψη δημόσιας ενίσχυσης, ώστε να διασφαλίζεται η ίση μεταχείριση, η συνέπεια της πολιτιστικής πολιτικής και να αποφεύγεται το παράδοξο να επιδοτούνται με δημόσια κεφάλαια φορείς ή επιχειρήσεις που δεν εκπληρώνουν τις ήδη υφιστάμενες νόμιμες υποχρεώσεις τους προς την ελληνική κινηματογραφία.</w:t>
      </w:r>
    </w:p>
    <w:p/>
    <w:p>
      <w:pPr/>
      <w:r>
        <w:rPr/>
        <w:t xml:space="preserve">Επιπλέον, σε περίπτωση διαπιστωμένων και ληξιπρόθεσμων οφειλών ή ανεκπλήρωτων υποχρεώσεων που απορρέουν από την εφαρμογή της σχετικής νομοθεσίας, θα μπορούσε να προβλεφθεί μηχανισμός συμψηφισμού της δικαιούμενης ενίσχυσης με τα οφειλόμενα ποσά ή, εναλλακτικά, αναστολή της καταβολής της ενίσχυσης έως την πλήρη τακτοποίηση των σχετικών υποχρεώσεων.</w:t>
      </w:r>
    </w:p>
    <w:p/>
    <w:p/>
    <w:p>
      <w:pPr/>
      <w:r>
        <w:rPr/>
        <w:t xml:space="preserve">Άρθρο 78 περ. στ) </w:t>
      </w:r>
    </w:p>
    <w:p/>
    <w:p>
      <w:pPr/>
      <w:r>
        <w:rPr/>
        <w:t xml:space="preserve">Προτείνεται να τροποποιηθεί ώστε να απαλειφθούν οι αναφορές σε τηλεπαιχνίδια, διαγωνιστικά τηλεοπτικά προγράμματα, reality και λοιπά προγράμματα γενικής ψυχαγωγίας, διατηρώντας ως επιλέξιμα μόνο τα οπτικοακουστικά έργα που πληρούν τα πολιτιστικά κριτήρια του άρθρου 54 του Γ.Α.Κ.</w:t>
      </w:r>
    </w:p>
    <w:p/>
    <w:p>
      <w:pPr/>
      <w:r>
        <w:rPr/>
        <w:t xml:space="preserve">Η ένταξη προγραμμάτων γενικής ψυχαγωγίας στο πεδίο εφαρμογής του Cash Rebate Greece αποδυναμώνει τον πολιτιστικό του χαρακτήρα και δημιουργεί τον κίνδυνο διάχυσης των περιορισμένων δημόσιων πόρων σε έργα που δεν υπηρετούν τον σκοπό της πολιτιστικής ενίσχυσης. Το πρόγραμμα οφείλει να προσανατολίζεται κατά προτεραιότητα στη στήριξη κινηματογραφικών ταινιών, σειρών, ντοκιμαντέρ, έργων animation, πρώτων και δεύτερων έργων δημιουργών και γενικότερα των πολιτιστικών και «δύσκολων οπτικοακουστικών έργων», όπως αυτά αναγνωρίζονται από το ίδιο το νομοσχέδιο και το άρθρο 54 του Γ.Α.Κ</w:t>
      </w:r>
    </w:p>
    <w:p/>
    <w:p/>
    <w:p>
      <w:pPr/>
      <w:r>
        <w:rPr/>
        <w:t xml:space="preserve">Άρθρο 78 παρ. 7</w:t>
      </w:r>
    </w:p>
    <w:p/>
    <w:p>
      <w:pPr/>
      <w:r>
        <w:rPr/>
        <w:t xml:space="preserve">Να προστεθεί: «Οι τηλεοπτικές σειρές δημιουργικής τεκμηρίωσης (ντοκιμαντέρ), ανεξαρτήτως του φορέα μετάδοσης, υπάγονται στη Δράση Film Greece, εκτός εάν πρόκειται για παραγωγές που αναπτύσσονται και υλοποιούνται από αδειοδοτημένο πάροχο περιεχομένου ή από συνδεδεμένη εταιρεία του τότε υπάγονται στη Δράση Film TV» </w:t>
      </w:r>
    </w:p>
    <w:p/>
    <w:p/>
    <w:p>
      <w:pPr/>
      <w:r>
        <w:rPr/>
        <w:t xml:space="preserve">Άρθρο 79 παρ. 4 </w:t>
      </w:r>
    </w:p>
    <w:p/>
    <w:p>
      <w:pPr/>
      <w:r>
        <w:rPr/>
        <w:t xml:space="preserve">Προτείνεται, όταν οι δύο αξιολογητές διαφωνούν ως προς το αποτέλεσμα της αξιολόγησης, η αίτηση να παραπέμπεται σε τρίτο ανεξάρτητο αξιολογητή ή σε αρμόδια επιτροπή. Η αυτόματη απόρριψη ενός επενδυτικού σχεδίου λόγω μίας μόνο αρνητικής αξιολόγησης δεν διασφαλίζει την αντικειμενικότητα της διαδικασίας και ενδέχεται να οδηγήσει σε άδικες απορρίψεις.</w:t>
      </w:r>
    </w:p>
    <w:p/>
    <w:p/>
    <w:p>
      <w:pPr/>
      <w:r>
        <w:rPr/>
        <w:t xml:space="preserve">Άρθρο 79 παρ. 6 και 8</w:t>
      </w:r>
    </w:p>
    <w:p/>
    <w:p>
      <w:pPr/>
      <w:r>
        <w:rPr/>
        <w:t xml:space="preserve">Προτείνεται να εξειδικευθούν οι έννοιες της «ουσιώδους μεταβολής» των πολιτιστικών κριτηρίων και της «απρόβλεπτης κατάστασης», καθώς και να προβλεφθεί μεγαλύτερη ευελιξία στις τροποποιήσεις και στις παρατάσεις του φυσικού και οικονομικού αντικειμένου, όταν αυτές τεκμηριώνονται και δεν αλλοιώνουν τον βασικό δημιουργικό και πολιτιστικό χαρακτήρα του έργου.</w:t>
      </w:r>
    </w:p>
    <w:p/>
    <w:p>
      <w:pPr/>
      <w:r>
        <w:rPr/>
        <w:t xml:space="preserve">Η πρόβλεψη αυτή είναι ιδιαίτερα σημαντική για τα ντοκιμαντέρ, τις διεθνείς συμπαραγωγές και τις ανεξάρτητες παραγωγές, όπου συχνά προκύπτουν αντικειμενικές μεταβολές κατά την υλοποίηση. Η σαφής οριοθέτηση των σχετικών εννοιών θα ενισχύσει την ασφάλεια δικαίου και την προβλεψιμότητα του συστήματος, διασφαλίζοντας παράλληλα την ορθή διαχείριση των δημόσιων πόρων, χωρίς να δημιουργούνται αδικαιολόγητοι περιορισμοί στην ολοκλήρωση των έργων.</w:t>
      </w:r>
    </w:p>
    <w:p/>
    <w:p/>
    <w:p>
      <w:pPr/>
      <w:r>
        <w:rPr/>
        <w:t xml:space="preserve">Άρθρο 79 παρ 12, περ α) </w:t>
      </w:r>
    </w:p>
    <w:p/>
    <w:p>
      <w:pPr/>
      <w:r>
        <w:rPr/>
        <w:t xml:space="preserve">Προτείνεται να προβλεφθεί ρητά ότι η ανάκτηση της ενίσχυσης επιβάλλεται μόνο κατά το μέρος που αντιστοιχεί στην παράβαση και όχι όταν αυτή οφείλεται αποκλειστικά σε σφάλμα, παράλειψη ή πλημμελή άσκηση των καθηκόντων του ορκωτού ελεγκτή ή άλλου προσώπου που έχει οριστεί ή εγκριθεί από τη χορηγούσα αρχή, εφόσον δεν προκύπτει δόλος, ψευδής δήλωση ή υπαιτιότητα του δικαιούχου.</w:t>
      </w:r>
    </w:p>
    <w:p/>
    <w:p>
      <w:pPr/>
      <w:r>
        <w:rPr/>
        <w:t xml:space="preserve">Η ρύθμιση αυτή διασφαλίζει την αρχή της αναλογικότητας, αποδίδει την ευθύνη στο πραγματικά υπαίτιο πρόσωπο και προστατεύει τη βιωσιμότητα επενδυτικών σχεδίων που υλοποιήθηκαν καλόπιστα και σύμφωνα με τις προβλεπόμενες διαδικασίες.</w:t>
      </w:r>
    </w:p>
    <w:p/>
    <w:p/>
    <w:p>
      <w:pPr/>
      <w:r>
        <w:rPr/>
        <w:t xml:space="preserve">Άρθρο 79 παρ. 13</w:t>
      </w:r>
    </w:p>
    <w:p/>
    <w:p>
      <w:pPr/>
      <w:r>
        <w:rPr/>
        <w:t xml:space="preserve">Προτείνεται να εξειδικευθεί η έννοια της «μη προσήκουσας διευκόλυνσης του ελέγχου» και γενικότερα οι περιπτώσεις μη συμμόρφωσης που μπορούν να οδηγήσουν σε ανάκληση της ένταξης ή σε ανάκτηση της ενίσχυσης, ώστε να αποφεύγονται αυθαίρετες ερμηνείες και να διασφαλίζεται η ομοιόμορφη εφαρμογή του νόμου.</w:t>
      </w:r>
    </w:p>
    <w:p/>
    <w:p/>
    <w:p>
      <w:pPr/>
      <w:r>
        <w:rPr/>
        <w:t xml:space="preserve">Παράλληλα, πριν από την επιβολή κυρώσεων, την ανάκληση της απόφασης ένταξης ή την ανάκτηση της ενίσχυσης, θα πρέπει να προβλέπεται η δυνατότητα του δικαιούχου να παράσχει διευκρινίσεις, συμπληρωματικά στοιχεία ή, όπου αυτό είναι εφικτό, να αποκαταστήσει τυχόν ελλείψεις μέσα σε εύλογη προθεσμία. Η πρόβλεψη αυτή ενισχύει την ασφάλεια δικαίου και διασφαλίζει ότι δεν επιβάλλονται δυσανάλογες κυρώσεις για θεραπεύσιμες παραβάσεις που δεν θίγουν τον σκοπό της ενίσχυσης ούτε την προστασία των δημόσιων πόρων.</w:t>
      </w:r>
    </w:p>
    <w:p/>
    <w:p/>
    <w:p>
      <w:pPr/>
      <w:r>
        <w:rPr/>
        <w:t xml:space="preserve">Άρθρο 84 </w:t>
      </w:r>
    </w:p>
    <w:p/>
    <w:p>
      <w:pPr/>
      <w:r>
        <w:rPr/>
        <w:t xml:space="preserve">Προτείνεται να εξειδικευθούν οι περιπτώσεις στις οποίες μπορεί να γίνει επίκληση του δημόσιου συμφέροντος, ώστε να διασφαλίζεται η ασφάλεια δικαίου και να αποφεύγονται αόριστες ερμηνείες. Προτείνεται να αποσαφηνιστεί η έννοια της «ουσιώδους μεταβολής» του έργου, ιδίως ως προς τα δημιουργικά, παραγωγικά και καλλιτεχνικά χαρακτηριστικά που λαμβάνονται υπόψη κατά την αξιολόγηση.</w:t>
      </w:r>
    </w:p>
    <w:p/>
    <w:p>
      <w:pPr/>
      <w:r>
        <w:rPr/>
        <w:t xml:space="preserve">Η ανάγκη αυτή είναι ιδιαίτερα σημαντική για τα έργα δημιουργικής τεκμηρίωσης (ντοκιμαντέρ), τις διεθνείς συμπαραγωγές και τα έργα μακράς ανάπτυξης, στα οποία η εξέλιξη της πραγματικότητας, η διαθεσιμότητα των συμμετεχόντων ή η πορεία της έρευνας ενδέχεται να επιβάλλουν ουσιαστικές προσαρμογές χωρίς να μεταβάλλεται ο βασικός δημιουργικός και πολιτιστικός χαρακτήρας του έργου.</w:t>
      </w:r>
    </w:p>
    <w:p/>
    <w:p>
      <w:pPr/>
      <w:r>
        <w:rPr/>
        <w:t xml:space="preserve">Επιπλέον, προτείνεται να προβλεφθεί μεγαλύτερη ευελιξία ως προς τη δυνατότητα παράτασης του χρόνου ολοκλήρωσης, ιδίως για έργα δημιουργικής τεκμηρίωσης, διεθνείς συμπαραγωγές και έργα που εξαρτώνται από πραγματικά γεγονότα ή μακροχρόνιες διαδικασίες παρατήρησης. Στις περιπτώσεις αυτές η εξέλιξη του ίδιου του θέματος του έργου μπορεί να καθιστά αναγκαία την παράταση της παραγωγικής διαδικασίας χωρίς υπαιτιότητα του δικαιούχου.</w:t>
      </w:r>
    </w:p>
    <w:p/>
    <w:p/>
    <w:p>
      <w:pPr/>
      <w:r>
        <w:rPr/>
        <w:t xml:space="preserve">Άρθρο 85 </w:t>
      </w:r>
    </w:p>
    <w:p/>
    <w:p>
      <w:pPr/>
      <w:r>
        <w:rPr/>
        <w:t xml:space="preserve">Η Ένωση Ελληνικού Ντοκιμαντέρ θεωρεί ότι οι διατάξεις που αφορούν την οργάνωση, τη διαδικασία αξιολόγησης και τη λειτουργία των Επιλεκτικών Προγραμμάτων Χρηματοδότησης δεν θα πρέπει να αποτελούν αντικείμενο νομοθετικής ρύθμισης, αλλά να εξειδικεύονται μέσω του Κανονισμού Χρηματοδότησης του Ε.Κ.Κ.Ο.ΜΕ.Δ., κατόπιν ουσιαστικής διαβούλευσης με τους επαγγελματικούς φορείς του οπτικοακουστικού τομέα. Με τον τρόπο αυτό διασφαλίζεται η δυνατότητα ταχύτερης προσαρμογής του συστήματος στις ανάγκες της κινηματογραφικής παραγωγής, χωρίς να απαιτείται κάθε φορά νομοθετική τροποποίηση.</w:t>
      </w:r>
    </w:p>
    <w:p/>
    <w:p/>
    <w:p>
      <w:pPr/>
      <w:r>
        <w:rPr/>
        <w:t xml:space="preserve">Παράλληλα, προτείνεται η κατάργηση της Κεντρικής Επιτροπής Αξιολόγησης και Επιλογής. Το σχέδιο νόμου ήδη προβλέπει αξιολόγηση από ανεξάρτητους αξιολογητές του Μητρώου Εμπειρογνωμόνων και έλεγχο από τις αρμόδιες υπηρεσίες του Ε.Κ.Κ.Ο.ΜΕ.Δ. Η δημιουργία ενός δεύτερου οργάνου με αρμοδιότητα να αποκλίνει από τις εισηγήσεις των αξιολογητών, να καθορίζει το ύψος της χρηματοδότησης και να λαμβάνει την τελική απόφαση για την επιλογή των έργων αποδυναμώνει τον θεσμό της ανεξάρτητης αξιολόγησης και συγκεντρώνει υπέρμετρη διακριτική ευχέρεια, χωρίς να ενισχύει αντίστοιχα τη διαφάνεια και την αξιοπιστία της διαδικασίας.</w:t>
      </w:r>
    </w:p>
    <w:p/>
    <w:p/>
    <w:p>
      <w:pPr/>
      <w:r>
        <w:rPr/>
        <w:t xml:space="preserve">Η αξιολόγηση των έργων θα πρέπει να βασίζεται αποκλειστικά στην τεκμηριωμένη κρίση ανεξάρτητων εμπειρογνωμόνων, οι οποίοι επιλέγονται με διαφανή διαδικασία από το Μητρώο Εμπειρογνωμόνων, με βάση την ειδικότητα και το είδος του έργου. Η τελική διοικητική απόφαση του Ε.Κ.Κ.Ο.ΜΕ.Δ. θα πρέπει να περιορίζεται στον έλεγχο νομιμότητας, επιλεξιμότητας και ορθής εφαρμογής των κανόνων του προγράμματος, χωρίς δυνατότητα ουσιαστικής ανατροπής της αξιολόγησης.</w:t>
      </w:r>
    </w:p>
    <w:p/>
    <w:p/>
    <w:p>
      <w:pPr/>
      <w:r>
        <w:rPr/>
        <w:t xml:space="preserve">Σε περίπτωση που η διατήρηση της Κεντρικής Επιτροπής κριθεί αναγκαία, προτείνεται να θεσπιστούν ουσιαστικές εγγυήσεις διαφάνειας και ανεξαρτησίας. Ειδικότερα, οι αξιολογητές να επιλέγονται με τυχαία κλήρωση από το Μητρώο, με βάση την εξειδίκευσή τους, ενώ τα έργα ντοκιμαντέρ να αξιολογούνται αποκλειστικά από επαγγελματίες με αποδεδειγμένη εμπειρία στον χώρο της δημιουργικής τεκμηρίωσης. Επιπλέον, κάθε απόκλιση της Κεντρικής Επιτροπής από τη βαθμολογία ή τις εισηγήσεις των ανεξάρτητων αξιολογητών θα πρέπει να αιτιολογείται ειδικά και πλήρως, ενώ η αρμοδιότητά της να περιορίζεται κυρίως στην εξέταση ενστάσεων και στον έλεγχο της ορθής εφαρμογής των κανόνων του προγράμματος.</w:t>
      </w:r>
    </w:p>
    <w:p/>
    <w:p/>
    <w:p>
      <w:pPr/>
      <w:r>
        <w:rPr/>
        <w:t xml:space="preserve">Τέλος, προτείνεται να προβλεφθεί μεγαλύτερη ευελιξία ως προς την παράταση του χρόνου ολοκλήρωσης των έργων, ιδίως για ντοκιμαντέρ, διεθνείς συμπαραγωγές και έργα που εξαρτώνται από πραγματικά γεγονότα, μακροχρόνιες διαδικασίες παρατήρησης και χρηματοδοτικά πλάνα. Στις περιπτώσεις αυτές, η εξέλιξη του ίδιου του αντικειμένου του έργου μπορεί να καθιστά αναγκαία την παράταση της παραγωγικής διαδικασίας χωρίς υπαιτιότητα του δικαιούχου και χωρίς να αλλοιώνεται ο δημιουργικός και πολιτιστικός χαρακτήρας του έργου.</w:t>
      </w:r>
    </w:p>
    <w:p/>
    <w:p/>
    <w:p>
      <w:pPr/>
      <w:r>
        <w:rPr/>
        <w:t xml:space="preserve">Η κρατική πολιτική για τον κινηματογράφο οφείλει να υπηρετεί όχι μόνο την ανάπτυξη της οπτικοακουστικής βιομηχανίας, αλλά και την προστασία της ανεξάρτητης δημιουργίας, της καλλιτεχνικής πολυφωνίας και της πολιτιστικής αποστολής του ελληνικού κινηματογράφου. Για τον λόγο αυτό, οι αποφάσεις χρηματοδότησης πρέπει να στηρίζονται σε αντικειμενικά, διαφανή και ελέγξιμα κριτήρια, με θεσμικές εγγυήσεις που ενισχύουν την εμπιστοσύνη του δημιουργικού και παραγωγικού κόσμου στο σύστημα χρηματοδότησης.</w:t>
      </w:r>
    </w:p>
    <w:p/>
    <w:p/>
    <w:p>
      <w:pPr/>
      <w:r>
        <w:rPr/>
        <w:t xml:space="preserve">Άρθρο 86 παρ.1 </w:t>
      </w:r>
    </w:p>
    <w:p/>
    <w:p>
      <w:pPr/>
      <w:r>
        <w:rPr/>
        <w:t xml:space="preserve">Προτείνεται η εισήγηση προς το Διοικητικό Συμβούλιο για την έγκριση ή τροποποίηση των Κανονισμών Χρηματοδότησης να γίνεται από τη Διεύθυνση Ελληνικού Κινηματογράφου, η οποία διαθέτει την εξειδικευμένη γνώση και την επιχειρησιακή ευθύνη των επιλεκτικών προγραμμάτων, ή κατόπιν κοινής εισήγησης της Διεύθυνσης και του Διευθύνοντος Συμβούλου. Με τον τρόπο αυτό ενισχύεται η θεσμική συνέχεια, η τεχνοκρατική τεκμηρίωση και η αποτελεσματική λειτουργία του Προγράμματος, ανεξάρτητα από τις εκάστοτε διοικητικές αλλαγές.</w:t>
      </w:r>
    </w:p>
    <w:p/>
    <w:p/>
    <w:p>
      <w:pPr/>
      <w:r>
        <w:rPr/>
        <w:t xml:space="preserve">Άρθρο 80 </w:t>
      </w:r>
    </w:p>
    <w:p/>
    <w:p>
      <w:pPr/>
      <w:r>
        <w:rPr/>
        <w:t xml:space="preserve">Προτείνεται η προθεσμία υποβολής ένστασης να αυξηθεί από δέκα (10) σε είκοσι (20) ημέρες.</w:t>
      </w:r>
    </w:p>
    <w:p/>
    <w:p>
      <w:pPr/>
      <w:r>
        <w:rPr/>
        <w:t xml:space="preserve">Οι αποφάσεις που αφορούν την ένταξη, την απόρριψη ή την ανάκληση επενδυτικών σχεδίων συχνά βασίζονται σε σύνθετα πραγματικά, οικονομικά και νομικά δεδομένα, η αξιολόγηση των οποίων απαιτεί επαρκή χρόνο προκειμένου ο ενδιαφερόμενος να προετοιμάσει τεκμηριωμένα τις απόψεις και τις αντιρρήσεις του.</w:t>
      </w:r>
    </w:p>
    <w:p/>
    <w:p>
      <w:pPr/>
      <w:r>
        <w:rPr/>
        <w:t xml:space="preserve">Η παράταση της προθεσμίας θα ενίσχυε την αποτελεσματική άσκηση του δικαιώματος προσφυγής χωρίς να επηρεάζει ουσιωδώς την ταχύτητα λειτουργίας του Προγράμματος.</w:t>
      </w:r>
    </w:p>
    <w:p/>
    <w:p/>
    <w:p>
      <w:pPr/>
      <w:r>
        <w:rPr/>
        <w:t xml:space="preserve">Άρθρο 88 </w:t>
      </w:r>
    </w:p>
    <w:p/>
    <w:p>
      <w:pPr/>
      <w:r>
        <w:rPr/>
        <w:t xml:space="preserve">Προτείνεται να προβλεφθεί ρητά ότι οι αξιολογητές επιλέγονται αποκλειστικά με βάση την αποδεδειγμένη επαγγελματική εμπειρία τους στο συγκεκριμένο είδος και αντικείμενο του προς αξιολόγηση έργου (όπως ντοκιμαντέρ, μυθοπλασία, animation, μικρού μήκους κλπ), ώστε κάθε πρόταση να αξιολογείται από εμπειρογνώμονες με ουσιαστική γνώση και εξειδίκευση στο αντίστοιχο πεδίο. Η πρόβλεψη αυτή ενισχύει την ποιότητα, την αξιοπιστία και την αντικειμενικότητα της διαδικασίας αξιολόγησης.</w:t>
      </w:r>
    </w:p>
    <w:p/>
    <w:p/>
    <w:p>
      <w:pPr/>
      <w:r>
        <w:rPr/>
        <w:t xml:space="preserve">Άρθρο 89  </w:t>
      </w:r>
    </w:p>
    <w:p/>
    <w:p>
      <w:pPr/>
      <w:r>
        <w:rPr/>
        <w:t xml:space="preserve">Προτείνεται να προβλεφθεί ρητά ότι η μη τήρηση των υποχρεώσεων σήμανσης δεν αποτελεί λόγο ολικής ανάκτησης της ενίσχυσης, εφόσον ο δικαιούχος συμμορφωθεί εντός εύλογης προθεσμίας ή η παράλειψη δεν επηρεάζει ουσιωδώς τους σκοπούς της χρηματοδότησης.</w:t>
      </w:r>
    </w:p>
    <w:p/>
    <w:p>
      <w:pPr/>
      <w:r>
        <w:rPr/>
        <w:t xml:space="preserve">Η ανάκτηση της ενίσχυσης θα πρέπει να είναι ανάλογη προς τη βαρύτητα της παράβασης, σύμφωνα με την αρχή της αναλογικότητας, ώστε τυπικές ή τεχνικές παραλείψεις να μη συνεπάγονται δυσανάλογες οικονομικές κυρώσεις για τους δικαιούχους.</w:t>
      </w:r>
    </w:p>
    <w:p/>
    <w:p/>
    <w:p>
      <w:pPr/>
      <w:r>
        <w:rPr/>
        <w:t xml:space="preserve">Άρθρο 90 </w:t>
      </w:r>
    </w:p>
    <w:p/>
    <w:p>
      <w:pPr/>
      <w:r>
        <w:rPr/>
        <w:t xml:space="preserve">Προτείνεται να αποσαφηνιστεί ότι η διαδικασία βεβαίωσης και ανάκτησης της ενίσχυσης ενεργοποιείται μετά την έκδοση οριστικής και επαρκώς αιτιολογημένης διοικητικής πράξης ανάκτησης και μετά την ολοκλήρωση των προβλεπόμενων διοικητικών διαδικασιών εξέτασης τυχόν ενστάσεων ή αντιρρήσεων του δικαιούχου.</w:t>
      </w:r>
    </w:p>
    <w:p/>
    <w:p/>
    <w:p>
      <w:pPr/>
      <w:r>
        <w:rPr/>
        <w:t xml:space="preserve">Άρθρο 91 </w:t>
      </w:r>
    </w:p>
    <w:p/>
    <w:p>
      <w:pPr/>
      <w:r>
        <w:rPr/>
        <w:t xml:space="preserve">Προτείνεται να προβλεφθεί ρητά ότι το Πρόγραμμα Εξωστρέφειας δύναται να ενισχύει δράσεις επαγγελματικής δικτύωσης (networking), matchmaking, forums συμπαραγωγών, pitching και λοιπές δράσεις ανάπτυξης διεθνών συνεργασιών μεταξύ Ελλήνων και αλλοδαπών δημιουργών, παραγωγών και λοιπών επαγγελματιών του οπτικοακουστικού τομέα. Επιπλέον, προτείνεται να προβλεφθεί ότι οι δράσεις αυτές μπορούν να υλοποιούνται και από αναγνωρισμένους επαγγελματικούς φορείς και ενώσεις του οπτικοακουστικού τομέα, συμβάλλοντας ουσιαστικά στην εξωστρέφεια και τη διεθνή παρουσία της ελληνικής παραγωγής.</w:t>
      </w:r>
    </w:p>
    <w:p/>
    <w:p>
      <w:pPr/>
      <w:r>
        <w:rPr>
          <w:b w:val="1"/>
          <w:bCs w:val="1"/>
        </w:rPr>
        <w:t xml:space="preserve">Σύνδεσμος Ελλήνων Παραγωγών Κινηματογράφου Τηλεόρασης Βίντεο και Πολυμέσων - ΣΕΠΚΤΒ&amp;Π – 20 Ιουλίου 2026, 00:21</w:t>
      </w:r>
    </w:p>
    <w:p>
      <w:pPr/>
      <w:r>
        <w:rPr/>
        <w:t xml:space="preserve">Παρατηρήσεις και σχολιασμός του  Συνδέσμου Ελλήνων Παραγωγών ΣΕΠΚΤΒ&amp;Π</w:t>
      </w:r>
    </w:p>
    <w:p/>
    <w:p/>
    <w:p>
      <w:pPr/>
      <w:r>
        <w:rPr/>
        <w:t xml:space="preserve">επί του παρόντος σχεδίου Νόμου του Υπουργείου Πολιτισμού.</w:t>
      </w:r>
    </w:p>
    <w:p/>
    <w:p/>
    <w:p>
      <w:pPr/>
      <w:r>
        <w:rPr/>
        <w:t xml:space="preserve">Ο Σύνδεσμος Ελλήνων Παραγωγών - ΣΕΠΚΤΒ&amp;Π υποστηρίζει τη μεταρρύθμιση και τον στόχο ανάπτυξης του οπτικοακουστικού τομέα. Οι ακόλουθες παρατηρήσεις αποσκοπούν στη βελτίωση του σχεδίου νόμου, ώστε να διασφαλιστούν η διαφάνεια, η πολυφωνία, ο υγιής ανταγωνισμός και η βιωσιμότητα της ανεξάρτητης παραγωγής</w:t>
      </w:r>
    </w:p>
    <w:p/>
    <w:p/>
    <w:p>
      <w:pPr/>
      <w:r>
        <w:rPr/>
        <w:t xml:space="preserve"> </w:t>
      </w:r>
    </w:p>
    <w:p/>
    <w:p/>
    <w:p>
      <w:pPr/>
      <w:r>
        <w:rPr/>
        <w:t xml:space="preserve">ΑΡΘΡΟ 77 — Ορισμοί</w:t>
      </w:r>
    </w:p>
    <w:p/>
    <w:p/>
    <w:p>
      <w:pPr/>
      <w:r>
        <w:rPr/>
        <w:t xml:space="preserve">Το Πρόβλημα: Το άρθρο δεν περιλαμβάνει ορισμό του «ανεξάρτητου παραγωγού». Χωρίς αυτόν τον ορισμό, οποιαδήποτε αναφορά ή πρόνοια προστασίας των εγχώριων δημιουργών στα επόμενα άρθρα καθίσταται νομικά μετέωρη και ανεφάρμοστη στην πράξη.</w:t>
      </w:r>
    </w:p>
    <w:p/>
    <w:p/>
    <w:p>
      <w:pPr/>
      <w:r>
        <w:rPr/>
        <w:t xml:space="preserve">Τεκμηρίωση: Η εισαγωγή σαφούς ορισμού αποτελεί πάγια ευρωπαϊκή πρακτική (Ofcom στη Βρετανία, CNC στη Γαλλία) προκειμένου να διαχωρίζεται η υγιής επιχειρηματικότητα του ελεύθερου δημιουργού από καθετοποιημένους ομίλους ΜΜΕ.</w:t>
      </w:r>
    </w:p>
    <w:p/>
    <w:p/>
    <w:p>
      <w:pPr/>
      <w:r>
        <w:rPr/>
        <w:t xml:space="preserve">Πρόταση Τροποποίησης:</w:t>
      </w:r>
    </w:p>
    <w:p/>
    <w:p/>
    <w:p>
      <w:pPr/>
      <w:r>
        <w:rPr/>
        <w:t xml:space="preserve">«Προτείνεται η προσθήκη του ακόλουθου ορισμού στο άρθρο 77: "Ανεξάρτητος παραγωγός": Εταιρεία παραγωγής οπτικοακουστικών έργων που δεν συνδέεται μετοχικά, εταιρικά, διοικητικά ή συμβατικά με αδειοδοτημένο πάροχο περιεχομένου επίγειας ψηφιακής τηλεοπτικής ευρυεκπομπής ή με εταιρεία του ομίλου του, σε ποσοστό που υπερβαίνει το 25% του μετοχικού ή εταιρικού κεφαλαίου της, κατά την ημερομηνία υποβολής της αίτησης.»</w:t>
      </w:r>
    </w:p>
    <w:p/>
    <w:p/>
    <w:p>
      <w:pPr/>
      <w:r>
        <w:rPr/>
        <w:t xml:space="preserve"> </w:t>
      </w:r>
    </w:p>
    <w:p/>
    <w:p/>
    <w:p>
      <w:pPr/>
      <w:r>
        <w:rPr/>
        <w:t xml:space="preserve">ΑΡΘΡΟ 78 §2α — Όριο Δαπανών Above-The-Line (ATL)</w:t>
      </w:r>
    </w:p>
    <w:p/>
    <w:p/>
    <w:p>
      <w:pPr/>
      <w:r>
        <w:rPr/>
        <w:t xml:space="preserve">Το Πρόβλημα: Το οριζόντιο πλαφόν 30% για τις δαπάνες βασικού δημιουργικού κόστους (above-the-line) αδικεί κατάφωρα τα ντοκιμαντέρ, τις ταινίες μικρού μήκους και τα «δύσκολα οπτικοακουστικά έργα».</w:t>
      </w:r>
    </w:p>
    <w:p/>
    <w:p/>
    <w:p>
      <w:pPr/>
      <w:r>
        <w:rPr/>
        <w:t xml:space="preserve">Τεκμηρίωση: Στις κατηγορίες αυτές (που παράγονται κατεξοχήν από ανεξάρτητους παραγωγούς), οι αμοιβές των δημιουργών (σενάριο, σκηνοθεσία) αποτελούν δομικά μεγαλύτερο ποσοστό του προϋπολογισμού, καθώς οι καθαρά τεχνικές δαπάνες (below-the-line) είναι αναλογικά χαμηλότερες. Το οριζόντιο 30% αποκλείει de facto αυτά τα έργα από τη χρηματοδότηση.</w:t>
      </w:r>
    </w:p>
    <w:p/>
    <w:p/>
    <w:p>
      <w:pPr/>
      <w:r>
        <w:rPr/>
        <w:t xml:space="preserve">Πρόταση Τροποποίησης:</w:t>
      </w:r>
    </w:p>
    <w:p/>
    <w:p/>
    <w:p>
      <w:pPr/>
      <w:r>
        <w:rPr/>
        <w:t xml:space="preserve">«Προτείνεται η τροποποίηση της παρ. 2α του άρθρου 78 ως εξής: Το ανώτατο όριο για τις δαπάνες above-the-line ορίζεται σε 30% των επιλέξιμων δαπανών. Κατ’ εξαίρεση, για τις κατηγορίες των "δύσκολων οπτικοακουστικών έργων", των ντοκιμαντέρ και των ταινιών μικρού μήκους, το ανώτατο όριο above-the-line ανέρχεται σε 40% των επιλέξιμων δαπανών.»</w:t>
      </w:r>
    </w:p>
    <w:p/>
    <w:p/>
    <w:p>
      <w:pPr/>
      <w:r>
        <w:rPr/>
        <w:t xml:space="preserve"> </w:t>
      </w:r>
    </w:p>
    <w:p/>
    <w:p/>
    <w:p>
      <w:pPr/>
      <w:r>
        <w:rPr/>
        <w:t xml:space="preserve">ΑΡΘΡΟ 78 §6β — Δράση "TV Greece": Δικαιούχοι</w:t>
      </w:r>
    </w:p>
    <w:p/>
    <w:p/>
    <w:p>
      <w:pPr/>
      <w:r>
        <w:rPr/>
        <w:t xml:space="preserve">Το Πρόβλημα: Η διάταξη ορίζει ως αποκλειστικούς δικαιούχους της Δράσης "TV Greece" τους αδειοδοτημένους τηλεοπτικούς παρόχους και τις θυγατρικές τους. Ο ανεξάρτητος παραγωγός υποχρεούται να αιτηθεί μόνο ως εκτελεστής «για λογαριασμό» καναλιού, με την ενίσχυση να εισπράττεται από το κανάλι.</w:t>
      </w:r>
    </w:p>
    <w:p/>
    <w:p/>
    <w:p>
      <w:pPr/>
      <w:r>
        <w:rPr/>
        <w:t xml:space="preserve">Τεκμηρίωση: Η δομή αυτή αναπαράγει και επιδοτεί κρατικά τη μονοψωνιακή ισχύ των καναλιών, στερώντας τη ρευστότητα από τη βάση της παραγωγής. Οι δημόσιοι πόροι για την ανάπτυξη του κλάδου πρέπει να ενισχύουν τον παραγωγό, όχι τον αγοραστή.</w:t>
      </w:r>
    </w:p>
    <w:p/>
    <w:p/>
    <w:p>
      <w:pPr/>
      <w:r>
        <w:rPr/>
        <w:t xml:space="preserve">Πρόταση Τροποποίησης:</w:t>
      </w:r>
    </w:p>
    <w:p/>
    <w:p/>
    <w:p>
      <w:pPr/>
      <w:r>
        <w:rPr/>
        <w:t xml:space="preserve">«Προτείνεται η προσθήκη νέας υποπερίπτωσης στην παρ. 6β του άρθρου 78: Εναλλακτικά, όταν ανεξάρτητος παραγωγός αναλαμβάνει την εκτέλεση παραγωγής βάσει σύμβασης με αδειοδοτημένο πάροχο, δύναται να ορίζεται ως άμεσος δικαιούχος της ενίσχυσης, εφόσον τούτο ορίζεται ρητά στη μεταξύ τους σύμβαση. Στην περίπτωση αυτή, η ενίσχυση καταβάλλεται απευθείας στον παραγωγό.»</w:t>
      </w:r>
    </w:p>
    <w:p/>
    <w:p/>
    <w:p>
      <w:pPr/>
      <w:r>
        <w:rPr/>
        <w:t xml:space="preserve"> </w:t>
      </w:r>
    </w:p>
    <w:p/>
    <w:p/>
    <w:p>
      <w:pPr/>
      <w:r>
        <w:rPr/>
        <w:t xml:space="preserve">ΑΡΘΡΟ 82 — Προκηρύξεις: Απουσία Ποσόστωσης (Quota)</w:t>
      </w:r>
    </w:p>
    <w:p/>
    <w:p/>
    <w:p>
      <w:pPr/>
      <w:r>
        <w:rPr/>
        <w:t xml:space="preserve">Το Πρόβλημα: Δεν προβλέπεται καμία υποχρέωση για τους τηλεοπτικούς παρόχους που επιδοτούνται να αναθέτουν μέρος της παραγωγής τους σε τρίτους, ανεξάρτητους παραγωγούς.</w:t>
      </w:r>
    </w:p>
    <w:p/>
    <w:p/>
    <w:p>
      <w:pPr/>
      <w:r>
        <w:rPr/>
        <w:t xml:space="preserve">Τεκμηρίωση: Υπάρχει άμεσος κίνδυνος οι δημόσιοι πόροι να απορροφηθούν εξ ολοκλήρου εσωτερικά από θυγατρικές εταιρείες των τηλεοπτικών ομίλων. Ευρωπαϊκά κράτη με ισχυρή βιομηχανία (Βρετανία 25%, Γαλλία, Γερμανία) εφαρμόζουν αυστηρές ποσοστώσεις για να εξασφαλίσουν την πολυφωνία και την υγεία της αγοράς.</w:t>
      </w:r>
    </w:p>
    <w:p/>
    <w:p/>
    <w:p>
      <w:pPr/>
      <w:r>
        <w:rPr/>
        <w:t xml:space="preserve">Πρόταση Τροποποίησης:</w:t>
      </w:r>
    </w:p>
    <w:p/>
    <w:p/>
    <w:p>
      <w:pPr/>
      <w:r>
        <w:rPr/>
        <w:t xml:space="preserve">«Προτείνεται η προσθήκη νέου άρθρου 82α με τίτλο "Ποσοστώσεις Ανεξάρτητης Παραγωγής": Αδειοδοτημένοι πάροχοι που λαμβάνουν ενίσχυση βάσει της Δράσης TV Greece υποχρεούνται να αναθέτουν κατ' ελάχιστον το 30% του ετήσιου προϋπολογισμού παραγωγής για τον οποίο λαμβάνουν ενίσχυση σε ανεξάρτητους παραγωγούς, όπως αυτοί ορίζονται στο άρθρο 77. Η τήρηση της υποχρέωσης αυτής αποτελεί απαράβατη προϋπόθεση για τη λήψη οποιασδήποτε επόμενης ενίσχυσης.»</w:t>
      </w:r>
    </w:p>
    <w:p/>
    <w:p/>
    <w:p>
      <w:pPr/>
      <w:r>
        <w:rPr/>
        <w:t xml:space="preserve"> </w:t>
      </w:r>
    </w:p>
    <w:p/>
    <w:p/>
    <w:p>
      <w:pPr/>
      <w:r>
        <w:rPr/>
        <w:t xml:space="preserve">ΑΡΘΡΟ 83 — Επιλεκτικό Πρόγραμμα Κινηματογράφου</w:t>
      </w:r>
    </w:p>
    <w:p/>
    <w:p/>
    <w:p>
      <w:pPr/>
      <w:r>
        <w:rPr/>
        <w:t xml:space="preserve">Το Πρόβλημα: Η συμμετοχή του ΕΚΚΟΜΕΔ στα έσοδα εκμετάλλευσης (§4) παραμένει αόριστη, ενώ δεν προβλέπεται καμία πρόνοια για ανεξάρτητους παραγωγούς σε περιπτώσεις ισοβαθμίας έργων.</w:t>
      </w:r>
    </w:p>
    <w:p/>
    <w:p/>
    <w:p>
      <w:pPr/>
      <w:r>
        <w:rPr/>
        <w:t xml:space="preserve">Τεκμηρίωση: Η απουσία ανώτατου ορίου συμμετοχής στα έσοδα εμποδίζει τον οικονομικό σχεδιασμό και την προσέλκυση ξένων συμπαραγωγών.</w:t>
      </w:r>
    </w:p>
    <w:p/>
    <w:p/>
    <w:p>
      <w:pPr/>
      <w:r>
        <w:rPr/>
        <w:t xml:space="preserve">Πρόταση Τροποποίησης:</w:t>
      </w:r>
    </w:p>
    <w:p/>
    <w:p/>
    <w:p>
      <w:pPr/>
      <w:r>
        <w:rPr/>
        <w:t xml:space="preserve">«Προτείνεται η τροποποίηση του άρθρου 83 με τις εξής προσθήκες: α) Στην παράγραφο 4 ορίζεται ρητά ότι η συμβατική συμμετοχή του ΕΚΚΟΜΕΔ στα έσοδα εκμετάλλευσης δεν δύναται να υπερβαίνει το 20% επί των καθαρών εσόδων του έργου. β) Σε περιπτώσεις ισοβαθμίας κατά τη διαδικασία αξιολόγησης των αιτήσεων, απόλυτη προτεραιότητα χρηματοδότησης λαμβάνουν τα έργα που υποβάλλονται από ανεξάρτητους παραγωγούς, όπως αυτοί ορίζονται στο άρθρο 77.»</w:t>
      </w:r>
    </w:p>
    <w:p/>
    <w:p/>
    <w:p>
      <w:pPr/>
      <w:r>
        <w:rPr/>
        <w:t xml:space="preserve"> </w:t>
      </w:r>
    </w:p>
    <w:p/>
    <w:p/>
    <w:p>
      <w:pPr/>
      <w:r>
        <w:rPr/>
        <w:t xml:space="preserve">ΑΡΘΡΟ 84 §2β — Διαδικασία Αξιολόγησης: Εξωτερικοί Αναγνώστες</w:t>
      </w:r>
    </w:p>
    <w:p/>
    <w:p/>
    <w:p>
      <w:pPr/>
      <w:r>
        <w:rPr/>
        <w:t xml:space="preserve">Το Πρόβλημα: Η αξιολόγηση ανατίθεται οριζόντια σε «εξωτερικούς αναγνώστες» του Μητρώου, χωρίς να εξασφαλίζεται η σωστή αναλογία ειδικοτήτων για μια ολιστική κρίση.</w:t>
      </w:r>
    </w:p>
    <w:p/>
    <w:p/>
    <w:p>
      <w:pPr/>
      <w:r>
        <w:rPr/>
        <w:t xml:space="preserve">Τεκμηρίωση: Ένα οπτικοακουστικό έργο απαιτεί τριπλή αξιολόγηση (καλλιτεχνική, παραγωγική, οικονομική). Αν ο αξιολογητής έχει αποκλειστικά καλλιτεχνικό υπόβαθρο, αδυνατεί να κρίνει την παραγωγική βιωσιμότητα του σχεδίου.</w:t>
      </w:r>
    </w:p>
    <w:p/>
    <w:p/>
    <w:p>
      <w:pPr/>
      <w:r>
        <w:rPr/>
        <w:t xml:space="preserve">Πρόταση Τροποποίησης:</w:t>
      </w:r>
    </w:p>
    <w:p/>
    <w:p/>
    <w:p>
      <w:pPr/>
      <w:r>
        <w:rPr/>
        <w:t xml:space="preserve">«Προτείνεται η τροποποίηση της παρ. 2β του άρθρου 84: Σε κάθε διαδικασία αξιολόγησης επενδυτικού σχεδίου συμμετέχει υποχρεωτικά ομάδα τριών (3) αξιολογητών, εκ των οποίων ο ένας (1) διαθέτει αποδεδειγμένη καλλιτεχνική εμπειρία, ο δεύτερος (1) αποδεδειγμένη παραγωγική εμπειρία και ο τρίτος (1) εξειδικευμένη οικονομική εμπειρία στον οπτικοακουστικό τομέα (κατά το πρότυπο του CNC και του Creative Europe MEDIA).»</w:t>
      </w:r>
    </w:p>
    <w:p/>
    <w:p/>
    <w:p>
      <w:pPr/>
      <w:r>
        <w:rPr/>
        <w:t xml:space="preserve"> </w:t>
      </w:r>
    </w:p>
    <w:p/>
    <w:p/>
    <w:p>
      <w:pPr/>
      <w:r>
        <w:rPr/>
        <w:t xml:space="preserve">ΑΡΘΡΟ 85 — Κεντρική Επιτροπή Αξιολόγησης και Επιλογής</w:t>
      </w:r>
    </w:p>
    <w:p/>
    <w:p/>
    <w:p>
      <w:pPr/>
      <w:r>
        <w:rPr/>
        <w:t xml:space="preserve">Το Πρόβλημα: Η πενταμελής Επιτροπή δεν περιλαμβάνει κανένα μέλος με πραγματική, αποδεδειγμένη επαγγελματική εμπειρία στην παραγωγή οπτικοακουστικών έργων.</w:t>
      </w:r>
    </w:p>
    <w:p/>
    <w:p/>
    <w:p>
      <w:pPr/>
      <w:r>
        <w:rPr/>
        <w:t xml:space="preserve">Τεκμηρίωση: Η Επιτροπή αυτή καλείται να κρίνει τη βιωσιμότητα προϋπολογισμών, τη ρεαλιστικότητα χρηματοδοτικών σχημάτων και την υλοποιησιμότητα σχεδίων. Η γνώση αυτή είναι άκρως εξειδικευμένη και δεν αντικαθίσταται από διοικητική/θεσμική εμπειρία. Η απουσία της αυξάνει τον κίνδυνο σπατάλης δημόσιου χρήματος σε ανεφάρμοστα έργα.</w:t>
      </w:r>
    </w:p>
    <w:p/>
    <w:p/>
    <w:p>
      <w:pPr/>
      <w:r>
        <w:rPr/>
        <w:t xml:space="preserve">Πρόταση Τροποποίησης:</w:t>
      </w:r>
    </w:p>
    <w:p/>
    <w:p/>
    <w:p>
      <w:pPr/>
      <w:r>
        <w:rPr/>
        <w:t xml:space="preserve">«Προτείνεται η τροποποίηση του άρθρου 85 ως προς τη σύνθεση της Επιτροπής: α) Τουλάχιστον δύο (2) από τα πέντε μέλη της Επιτροπής απαιτείται να διαθέτουν αποδεδειγμένη επαγγελματική εμπειρία τουλάχιστον τριών (3) ετών στην παραγωγή οπτικοακουστικών έργων. β) Τουλάχιστον ένα (1) μέλος προτείνεται από κοινού από τους αναγνωρισμένους επαγγελματικούς συνδέσμους παραγωγών. γ) Αποκλείονται από τη συμμετοχή στην Επιτροπή πρόσωπα που τελούν σε σχέση εξαρτημένης εργασίας, έμμισθης εντολής ή εμπορικής συνεργασίας με αδειοδοτημένους τηλεοπτικούς παρόχους ή θυγατρικές τους κατά τα τρία (3) έτη που προηγούνται του διορισμού τους.»</w:t>
      </w:r>
    </w:p>
    <w:p/>
    <w:p/>
    <w:p>
      <w:pPr/>
      <w:r>
        <w:rPr/>
        <w:t xml:space="preserve"> </w:t>
      </w:r>
    </w:p>
    <w:p/>
    <w:p/>
    <w:p>
      <w:pPr/>
      <w:r>
        <w:rPr/>
        <w:t xml:space="preserve">Άρθρο 86 — Κριτήρια Βαθμολόγησης</w:t>
      </w:r>
    </w:p>
    <w:p/>
    <w:p/>
    <w:p>
      <w:pPr/>
      <w:r>
        <w:rPr/>
        <w:t xml:space="preserve">Αν τα κριτήρια μοριοδότησης δεν δίνουν βαθμούς για «ανεξαρτησία του παραγωγού» ως θετικό στοιχείο, όλα τα άλλα γίνονται τυπικά. Πρόταση: να προστεθεί ρητό κριτήριο — π.χ. +10 μόρια για ανεξάρτητους παραγωγούς όπως ορίζονται στο άρθρο 77.</w:t>
      </w:r>
    </w:p>
    <w:p/>
    <w:p/>
    <w:p>
      <w:pPr/>
      <w:r>
        <w:rPr/>
        <w:t xml:space="preserve"> </w:t>
      </w:r>
    </w:p>
    <w:p/>
    <w:p/>
    <w:p>
      <w:pPr/>
      <w:r>
        <w:rPr/>
        <w:t xml:space="preserve">ΑΡΘΡΟ 87 — Έλεγχος Σώρευσης Κρατικών Ενισχύσεων και Αριθμός Ταυτότητας Έργου (ΑΤΕ)</w:t>
      </w:r>
    </w:p>
    <w:p/>
    <w:p/>
    <w:p>
      <w:pPr/>
      <w:r>
        <w:rPr/>
        <w:t xml:space="preserve">Το Πρόβλημα: Ο Αριθμός Ταυτότητας Έργου (ΑΤΕ) είναι ένα εξαιρετικό εργαλείο, όμως παρακολουθεί αποκλειστικά τις ενισχύσεις που χορηγεί το ΕΚΚΟΜΕΔ, χωρίς να διασταυρώνεται συστηματικά με άλλες εθνικές βάσεις κρατικών ενισχύσεων (Φορολογικά κίνητρα 71Ε ΚΦΕ, ΕΣΠΑ, Αναπτυξιακός).</w:t>
      </w:r>
    </w:p>
    <w:p/>
    <w:p/>
    <w:p>
      <w:pPr/>
      <w:r>
        <w:rPr/>
        <w:t xml:space="preserve">Τεκμηρίωση / Το Επιχείρημα: Χωρίς αυτή τη διασταύρωση, είναι αδύνατο να ελεγχθεί το πραγματικό, συνολικό ύψος της δημόσιας στήριξης που λαμβάνει ένας όμιλος για ένα έργο. Η πρόταση αυτή βασίζεται σε απόλυτα ασφαλές νομικό έδαφος, καθώς επικαλείται τη συμμόρφωση με τον Γενικό Απαλλακτικό Κανονισμό (ΓΑΚ) της Ε.Ε. και προστατεύει άμεσα το δημόσιο συμφέρον και τη διαφάνεια.</w:t>
      </w:r>
    </w:p>
    <w:p/>
    <w:p/>
    <w:p>
      <w:pPr/>
      <w:r>
        <w:rPr/>
        <w:t xml:space="preserve">Πρόταση Τροποποίησης:</w:t>
      </w:r>
    </w:p>
    <w:p/>
    <w:p/>
    <w:p>
      <w:pPr/>
      <w:r>
        <w:rPr/>
        <w:t xml:space="preserve">«Προτείνεται η τροποποίηση του άρθρου 87 με την προσθήκη της εξής ρητής υποχρέωσης: Ο Αριθμός Ταυτότητας Έργου (ΑΤΕ) διασυνδέεται υποχρεωτικά και διασταυρώνεται αυτόματα με το Κεντρικό Μητρώο Κρατικών Ενισχύσεων (ΚΜΚΕ) του Υπουργείου Εθνικής Οικονομίας και Οικονομικών, καθώς και με τα αντίστοιχα μητρώα της ΑΑΔΕ (συμπεριλαμβανομένων των στοιχείων του άρθρου 71Ε του ΚΦΕ). Ο έλεγχος σώρευσης των ενισχύσεων πραγματοποιείται επί του συνόλου της δημόσιας χρηματοδότησης που λαμβάνει ο δικαιούχος ή ο όμιλος στον οποίο ανήκει, διασφαλίζοντας την πλήρη εναρμόνιση με τα ευρωπαϊκά όρια του ΓΑΚ.»</w:t>
      </w:r>
    </w:p>
    <w:p/>
    <w:p/>
    <w:p>
      <w:pPr/>
      <w:r>
        <w:rPr/>
        <w:t xml:space="preserve"> </w:t>
      </w:r>
    </w:p>
    <w:p/>
    <w:p/>
    <w:p>
      <w:pPr/>
      <w:r>
        <w:rPr/>
        <w:t xml:space="preserve">ΑΡΘΡΟ 88 — Μητρώο Εμπειρογνωμόνων ΟΔΤ</w:t>
      </w:r>
    </w:p>
    <w:p/>
    <w:p/>
    <w:p>
      <w:pPr/>
      <w:r>
        <w:rPr/>
        <w:t xml:space="preserve">Το Πρόβλημα: Η τριμελής επιτροπή εισαγωγής στο Μητρώο (§6) αποτελείται αποκλειστικά από τους Γενικούς Διευθυντές του ΕΚΚΟΜΕΔ, ενώ δεν ορίζονται ελάχιστα κριτήρια επαγγελματικής εμπειρίας για τους ιδιώτες που εγγράφονται (§3α).</w:t>
      </w:r>
    </w:p>
    <w:p/>
    <w:p/>
    <w:p>
      <w:pPr/>
      <w:r>
        <w:rPr/>
        <w:t xml:space="preserve">Τεκμηρίωση: Ο φορέας που χορηγεί τις ενισχύσεις ελέγχει μονομερώς και το ποιος τις αξιολογεί, γεγονός που πλήττει την αμεροληψία του συστήματος. Παράλληλα, η απουσία ελάχιστου κατωφλίου εμπειρίας υποβαθμίζει το επίπεδο των αξιολογήσεων.</w:t>
      </w:r>
    </w:p>
    <w:p/>
    <w:p/>
    <w:p>
      <w:pPr/>
      <w:r>
        <w:rPr/>
        <w:t xml:space="preserve">Πρόταση Τροποποίησης:</w:t>
      </w:r>
    </w:p>
    <w:p/>
    <w:p/>
    <w:p>
      <w:pPr/>
      <w:r>
        <w:rPr/>
        <w:t xml:space="preserve">«Προτείνεται η τροποποίηση του άρθρου 88 ως εξής: α) Στην τριμελή επιτροπή εισαγωγής στο Μητρώο (§6) συμμετέχει υποχρεωτικά τουλάχιστον ένα (1) μέλος που προτείνεται από τους αναγνωρισμένους επαγγελματικούς φορείς του κλάδου. β) Για την εγγραφή ιδιωτών με εμπειρία στην παραγωγή (§3α), ορίζεται ως ελάχιστη προϋπόθεση η τριετής (3) αποδεδειγμένη επαγγελματική δραστηριότητα στον κλάδο, με συμμετοχή σε παραγωγές άνω συγκεκριμένου προϋπολογισμού (κατ' ελάχιστον 100.000€).»</w:t>
      </w:r>
    </w:p>
    <w:p/>
    <w:p/>
    <w:p>
      <w:pPr/>
      <w:r>
        <w:rPr/>
        <w:t xml:space="preserve"> </w:t>
      </w:r>
    </w:p>
    <w:p/>
    <w:p/>
    <w:p>
      <w:pPr/>
      <w:r>
        <w:rPr/>
        <w:t xml:space="preserve">ΑΡΘΡΟ 89 §5 — Υποχρεωτική Κατάθεση Αντιγράφου</w:t>
      </w:r>
    </w:p>
    <w:p/>
    <w:p/>
    <w:p>
      <w:pPr/>
      <w:r>
        <w:rPr/>
        <w:t xml:space="preserve">Το Πρόβλημα: Η υποχρέωση κατάθεσης αντιγράφου του έργου δεν συνοδεύεται από ρητή διασφάλιση των πνευματικών δικαιωμάτων (IP) και των δικαιωμάτων εμπορικής εκμετάλλευσης του παραγωγού.</w:t>
      </w:r>
    </w:p>
    <w:p/>
    <w:p/>
    <w:p>
      <w:pPr/>
      <w:r>
        <w:rPr/>
        <w:t xml:space="preserve">Τεκμηρίωση: Η παράλειψη αυτή δημιουργεί σοβαρή νομική ανασφάλεια σχετικά με τη χρήση, την πρόσβαση και τη διαχείριση του έργου μετά τον έλεγχο.</w:t>
      </w:r>
    </w:p>
    <w:p/>
    <w:p/>
    <w:p>
      <w:pPr/>
      <w:r>
        <w:rPr/>
        <w:t xml:space="preserve">Πρόταση Τροποποίησης:</w:t>
      </w:r>
    </w:p>
    <w:p/>
    <w:p/>
    <w:p>
      <w:pPr/>
      <w:r>
        <w:rPr/>
        <w:t xml:space="preserve">«Προτείνεται η προσθήκη δύο εδαφίων στο τέλος της παρ. 5 του άρθρου 89: Η κατάθεση αντιγράφου δεν συνεπάγεται σε καμία περίπτωση μεταβίβαση, εκχώρηση ή περιορισμό οποιουδήποτε δικαιώματος πνευματικής ιδιοκτησίας ή εμπορικής εκμετάλλευσης του έργου. Το κατατεθέν αντίγραφο δεν δύναται να τεθεί στη διάθεση τρίτων ή να χρησιμοποιηθεί για οποιονδήποτε άλλο σκοπό πλην του τυπικού ελέγχου, της τεκμηρίωσης και της αρχειοθέτησης, χωρίς τη ρητή γραπτή συναίνεση του δικαιούχου.»</w:t>
      </w:r>
    </w:p>
    <w:p/>
    <w:p>
      <w:pPr/>
      <w:r>
        <w:rPr>
          <w:b w:val="1"/>
          <w:bCs w:val="1"/>
        </w:rPr>
        <w:t xml:space="preserve">ΕΤΑΙΡΕΙΑ ΕΛΛΗΝΩΝ ΣΚΗΝΟΘΕΤΩΝ – 20 Ιουλίου 2026, 00:57</w:t>
      </w:r>
    </w:p>
    <w:p>
      <w:pPr/>
      <w:r>
        <w:rPr/>
        <w:t xml:space="preserve">Προτάσεις της Εταιρείας Ελλήνων Σκηνοθετών </w:t>
      </w:r>
    </w:p>
    <w:p/>
    <w:p>
      <w:pPr/>
      <w:r>
        <w:rPr/>
        <w:t xml:space="preserve">για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Πόρων(Ο.Δ.Α.Π.)-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
    <w:p>
      <w:pPr/>
      <w:r>
        <w:rPr/>
        <w:t xml:space="preserve">Α. Ως προς το άρθρο 85 προτείνονται οι εξής τροποποιήσεις:</w:t>
      </w:r>
    </w:p>
    <w:p/>
    <w:p/>
    <w:p>
      <w:pPr/>
      <w:r>
        <w:rPr/>
        <w:t xml:space="preserve">1. Η πενταμελής Κεντρική Επιτροπή Αξιολόγησης και Επιλογής, να αποτελείται από:</w:t>
      </w:r>
    </w:p>
    <w:p/>
    <w:p>
      <w:pPr/>
      <w:r>
        <w:rPr/>
        <w:t xml:space="preserve">α) τον Γενικό Διευθυντή Ελληνικού Κινηματογράφου του Ε.Κ.Κ.Ο.ΜΕ.Δ., ως Πρόεδρο,</w:t>
      </w:r>
    </w:p>
    <w:p/>
    <w:p>
      <w:pPr/>
      <w:r>
        <w:rPr/>
        <w:t xml:space="preserve">β) τον Γενικό Διευθυντή Οικονομικής και Διοικητικής Υποστήριξης του Ε.Κ.Κ.Ο.ΜΕ.Δ., ως μέλος,</w:t>
      </w:r>
    </w:p>
    <w:p/>
    <w:p>
      <w:pPr/>
      <w:r>
        <w:rPr/>
        <w:t xml:space="preserve">γ) τον Πρόεδρο του Διοικητικού Συμβουλίου του Διεθνούς Φεστιβάλ Κινηματογράφου Θεσσαλονίκης (Δ.Φ.Κ.Θ.) ή ένα (1) πρόσωπο με αποδεδειγμένη επαγγελματική εμπειρία στον κινηματογραφικό και οπτικοακουστικό τομέα, που υποδεικνύεται από το Διοικητικό Συμβούλιο του Δ.Φ.Κ.Θ.,</w:t>
      </w:r>
    </w:p>
    <w:p/>
    <w:p>
      <w:pPr/>
      <w:r>
        <w:rPr/>
        <w:t xml:space="preserve">δ) και ε) δύο (2) πρόσωπα με αποδεδειγμένη επαγγελματική εμπειρία στον κινηματογραφικό και οπτικοακουστικό τομέα, που υποδεικνύονται από τον Υπουργό Πολιτισμού.</w:t>
      </w:r>
    </w:p>
    <w:p/>
    <w:p/>
    <w:p>
      <w:pPr/>
      <w:r>
        <w:rPr/>
        <w:t xml:space="preserve">Η πρότασή μας στηρίζεται στην απαρέγκλιτη τήρηση της  θεσμικότητας. Τα θεσμικά όργανα της πολιτείας στο χώρο του πολιτισμού (π.χ. ΥΠΠΟ, ΕΚΚΟΜΕΔ κλπ) και μόνον αυτά να έχουν τη δυνατότητα ορισμού των εκπροσώπων στην Κεντρική Επιτροπή Αξιολόγησης και Επιλογής, καθώς αυτά τα θεσμικά όργανα τελικώς λογοδοτούν στην κοινωνία. Αντιθέτως, η παροχή δυνατότητας σε ιδιώτες να ορίζουν εκπρόσωπό τους στην ανωτέρω Επιτροπή απειλεί να ανοίξει τον “ασκό του Αιόλου”, αφού συχνά παρατηρούνται ανταγωνισμοί, εκ διαμέτρου αντίθετες απόψεις, ακόμη και τριβές μεταξύ ιδιωτών που δραστηριοποιούνται στο χώρο του πολιτισμού. Επίσης, οι ιδιώτες δεν λογοδοτούν στην κοινωνία αλλά μόνο σε συλλογικά όργανα που εκλέγουν οι ίδιοι.</w:t>
      </w:r>
    </w:p>
    <w:p/>
    <w:p>
      <w:pPr/>
      <w:r>
        <w:rPr/>
        <w:t xml:space="preserve"> </w:t>
      </w:r>
    </w:p>
    <w:p/>
    <w:p/>
    <w:p>
      <w:pPr/>
      <w:r>
        <w:rPr/>
        <w:t xml:space="preserve">2. Ο ρόλος της Επιτροπής να είναι γνωμοδοτικός και όχι αποφασιστικός. Η γνωμοδότησή της να προωθείται στον Διευθύνοντα Σύμβουλο του ΕΚΚΟΜΕΔ,  ο οποίος, εν συνεχεία, θα εισηγείται στο Δ.Σ. του ΕΚΚΟΜΕΔ για τις τελικές αποφάσεις.</w:t>
      </w:r>
    </w:p>
    <w:p/>
    <w:p>
      <w:pPr/>
      <w:r>
        <w:rPr/>
        <w:t xml:space="preserve">Η πρότασή μας στηρίζεται στο επιτυχημένο μοντέλο που εφαρμόζεται εδώ και δεκαετίες στο ΥΠΠΟ, στον τομέα της προστασίας των αρχαίων και σύγχρονων μνημείων, μέσω των αντίστοιχων γνωμοδοτικών οργάνων ΚΑΣ και ΚΣΝΜ.</w:t>
      </w:r>
    </w:p>
    <w:p/>
    <w:p>
      <w:pPr/>
      <w:r>
        <w:rPr/>
        <w:t xml:space="preserve">Επίσης η πρότασή μας συμβάλλει στην τήρηση της ιεραρχικής αντιμετώπισης των θεμάτων εντός του ΕΚΚΟΜΕΔ και στην αποφυγή ενδεχόμενων τριβών μεταξύ των μελών της Επιτροπής και του οργανισμού του ΕΚΚΟΜΕΔ.</w:t>
      </w:r>
    </w:p>
    <w:p/>
    <w:p/>
    <w:p>
      <w:pPr/>
      <w:r>
        <w:rPr/>
        <w:t xml:space="preserve">3. Τέλος, προτείνουμε στην πρώτη βαθμίδα κρίσης των κατατεθειμένων σεναριακών προτάσεων,  την ύπαρξη, επιτέλους, επώνυμων αναγνωστών (readers), οι οποίοι υπεύθυνα και αναλυτικά  θα αιτιολογούν τόσο τις θετικές όσο και τις αρνητικές εκτιμήσεις τους για την κάθε πρόταση. </w:t>
      </w:r>
    </w:p>
    <w:p/>
    <w:p>
      <w:pPr/>
      <w:r>
        <w:rPr/>
        <w:t xml:space="preserve">Η συγκεκριμένη πρόταση θεωρούμε ότι θα βελτιώσει σημαντικά την περαιτέρω επεξεργασία των προτεινόμενων ελληνικών  σεναρίων.</w:t>
      </w:r>
    </w:p>
    <w:p/>
    <w:p/>
    <w:p>
      <w:pPr/>
      <w:r>
        <w:rPr/>
        <w:t xml:space="preserve">ΤΟ Δ.Σ. ΤΗΣ ΕΤΑΙΡΕΙΑΣ ΕΛΛΗΝΩΝ ΣΚΗΝΟΘΕΤΩΝ</w:t>
      </w:r>
    </w:p>
    <w:p/>
    <w:p>
      <w:pPr/>
      <w:r>
        <w:rPr>
          <w:b w:val="1"/>
          <w:bCs w:val="1"/>
        </w:rPr>
        <w:t xml:space="preserve">Μ********* Α************* – 20 Ιουλίου 2026, 01:41</w:t>
      </w:r>
    </w:p>
    <w:p>
      <w:pPr/>
      <w:r>
        <w:rPr/>
        <w:t xml:space="preserve">Σχετικά με το άρθρο 85 του Κεφαλαίου Γ: </w:t>
      </w:r>
    </w:p>
    <w:p/>
    <w:p/>
    <w:p>
      <w:pPr/>
      <w:r>
        <w:rPr/>
        <w:t xml:space="preserve">Δεν διευκρινίζεται για ποιο λόγο κρίνεται αναγκαίο τα κινηματογραφικά σχέδια, τα οποία έχουν ήδη αξιολογηθεί από επαγγελματίες και ειδικούς του κινηματογράφου, να επανεξετάζονται από την προτεινόμενη πενταμελή Κεντρική Επιτροπή Αξιολόγησης και Επιλογής. </w:t>
      </w:r>
    </w:p>
    <w:p/>
    <w:p/>
    <w:p>
      <w:pPr/>
      <w:r>
        <w:rPr/>
        <w:t xml:space="preserve">Το ισχύον σύστημα αξιολόγησης είναι αξιοκρατικό και διασφαλίζει την αντικειμενικότητα της διαδικασίας, καθώς, στα περισσότερα προγράμματα χρηματοδότησης, κάθε σχέδιο αξιολογείται ανώνυμα από τρεις καταξιωμένους επαγγελματίες του κινηματογραφικού και οπτικοακουστικού χώρου. Σε περίπτωση σημαντικής απόκλισης μεταξύ των βαθμολογιών τους, προβλέπεται αξιολόγηση και από τέταρτο ανεξάρτητο αξιολογητή, γεγονός που ενισχύει περαιτέρω την αξιοπιστία και την αμεροληψία του συστήματος. </w:t>
      </w:r>
    </w:p>
    <w:p/>
    <w:p/>
    <w:p>
      <w:pPr/>
      <w:r>
        <w:rPr/>
        <w:t xml:space="preserve">Τα κριτήρια αξιολόγησης των σχεδίων στα επιλεκτικά προγράμματα, καθώς και τα πρόσωπα που αναλαμβάνουν την αξιολόγηση, οφείλουν να βασίζονται στην εξειδικευμένη γνώση της κινηματογραφικής τέχνης και της οπτικοακουστικής δημιουργίας και θεωρίας. Η εισαγωγή μιας Κεντρικής Επιτροπής, η οποία δύναται να ανατρέπει ή να διαφοροποιεί το αποτέλεσμα της αξιολόγησης των ανεξάρτητων αξιολογητών, αποδυναμώνει τον θεσμικό τους ρόλο και υποβαθμίζει το κύρος και την ευθύνη των ανεξάρτητων αξιολογητών, οι οποίοι επιλέγονται ακριβώς λόγω της αποδεδειγμένης γνώσης και εμπειρίας τους στην κινηματογραφική τέχνη.</w:t>
      </w:r>
    </w:p>
    <w:p/>
    <w:p>
      <w:pPr/>
      <w:r>
        <w:rPr>
          <w:b w:val="1"/>
          <w:bCs w:val="1"/>
        </w:rPr>
        <w:t xml:space="preserve">ΕΛΛΗΝΙΚΗ ΑΚΑΔΗΜΙΑ ΚΙΝΗΜΑΤΟΓΡΑΦΟΥ – 20 Ιουλίου 2026, 02:56</w:t>
      </w:r>
    </w:p>
    <w:p>
      <w:pPr/>
      <w:r>
        <w:rPr/>
        <w:t xml:space="preserve">Σχόλια και προτάσεις της ΕΛΛΗΝΙΚΗΣ ΑΚΑΔΗΜΙΑΣ ΚΙΝΗΜΑΤΟΓΡΑΦΟΥ επί του:</w:t>
      </w:r>
    </w:p>
    <w:p/>
    <w:p>
      <w:pPr/>
      <w:r>
        <w:rPr/>
        <w:t xml:space="preserve">ΜΕΡΟΥΣ Δ΄ ΡΥΘΜΙΣΕΙΣ ΓΙΑ ΤΗΝ ΕΦΑΡΜΟΓΗ ΤΟΥ ΕΘΝΙΚΟΥ ΣΧΕΔΙΟΥ ΔΡΑΣΗΣ ΓΙΑ ΤΗΝ ΑΝΑΠΤΥΞΗ ΤΟΥ ΟΠΤΙΚΟΑΚΟΥΣΤΙΚΟΥ ΔΗΜΙΟΥΡΓΙΚΟΥ ΤΟΜΕΑ (Άρθρα 74-104)</w:t>
      </w:r>
    </w:p>
    <w:p/>
    <w:p/>
    <w:p>
      <w:pPr/>
      <w:r>
        <w:rPr/>
        <w:t xml:space="preserve">Αρ. 79</w:t>
      </w:r>
    </w:p>
    <w:p/>
    <w:p>
      <w:pPr/>
      <w:r>
        <w:rPr/>
        <w:t xml:space="preserve">Παρ. 6</w:t>
      </w:r>
    </w:p>
    <w:p/>
    <w:p>
      <w:pPr/>
      <w:r>
        <w:rPr/>
        <w:t xml:space="preserve">Η παρ. 6 περί δυνατότητας ανάκλησης της απόφασης ένταξης εάν εμφανιστούν νέα στοιχεία που τεκμηριώνουν ότι το επενδυτικό σχέδιο, κατά την υλοποίησή του, έχει πορνογραφικό χαρακτήρα, υποκινεί τη βία ή παραβιάζει τα ανθρώπινα δικαιώματα (περ. δ’) είναι πολλαπλώς προβληματική και αντισυνταγματική.</w:t>
      </w:r>
    </w:p>
    <w:p/>
    <w:p>
      <w:pPr/>
      <w:r>
        <w:rPr/>
        <w:t xml:space="preserve">Υπενθυμίζεται πως κατά το ελληνικό Σύνταγμα η Τέχνη είναι ελεύθερη και μάλιστα χωρίς να προβλέπεται επιφύλαξη υπέρ του νόμου, όπως συμβαίνει στα περισσότερα συνταγματικά δικαιώματα (αρ. 16 παρ. 1). Εξ άλλου υπάρχουν σχετικές προβλέψεις στον ισχύοντα ν. 5105/2024, ο οποίος εντάσσει στα μη επιλέξιμα έργα :</w:t>
      </w:r>
    </w:p>
    <w:p/>
    <w:p>
      <w:pPr/>
      <w:r>
        <w:rPr/>
        <w:t xml:space="preserve">[…] προγράμματα που θίγουν την ανθρώπινη αξιοπρέπεια και προγράμματα που εισάγουν ή προάγουν διακρίσεις βάσει φύλου, φυλετικής ή εθνοτικής καταγωγής, εθνικότητας, θρησκείας ή πεποιθήσεων, αναπηρίας, ηλικίας ή σεξουαλικού προσανατολισμού (αρ. 26 παρ. 7 ν. 5105/2024).</w:t>
      </w:r>
    </w:p>
    <w:p/>
    <w:p>
      <w:pPr/>
      <w:r>
        <w:rPr/>
        <w:t xml:space="preserve"> </w:t>
      </w:r>
    </w:p>
    <w:p/>
    <w:p>
      <w:pPr/>
      <w:r>
        <w:rPr/>
        <w:t xml:space="preserve">Άρθρο 83</w:t>
      </w:r>
    </w:p>
    <w:p/>
    <w:p>
      <w:pPr/>
      <w:r>
        <w:rPr/>
        <w:t xml:space="preserve">Παρ. 4</w:t>
      </w:r>
    </w:p>
    <w:p/>
    <w:p>
      <w:pPr/>
      <w:r>
        <w:rPr/>
        <w:t xml:space="preserve">Ζητάμε για μία ακόμα φορά, επιτακτικά, την εφαρμογή του άρθρου 17 παρ. 2  του ν. 4779/2021 (Α’ 27), με τον οποίο ενσωματώθηκε στην εθνική έννομη τάξη η Οδηγία 2010/33/ΕΕ, όπως τροποποιήθηκε και ισχύει με την Οδηγία 2018/1808/ΕΕ. Η εν λόγω διάταξη προβλέπει τα εξής: «Οι πάροχοι υπηρεσιών μέσων επικοινωνίας οφείλουν να συνεισφέρουν οικονομικά, κάθε χρόνο, ποσό ίσο με το 1,5% του κύκλου εργασιών τους που αφορά στην εν λόγω δραστηριότητα είτε α) για την παραγωγή ελληνικών οπτικοακουστικών έργων, είτε β) για την αγορά δικαιωμάτων σε ελληνικά οπτικοακουστικά έργα που δεν έχουν ακόμα κυκλοφορήσει, είτε γ) καταβάλλοντας το ποσό αυτό σε ειδικό λογαριασμό του Εθνικού Κέντρου Οπτικοακουστικών Μέσων και Επικοινωνίας Α.Ε. (Ε.Κ.Ο.Μ.Ε.) που συστάθηκε με τον ν. 4339/2015 (Α΄133) προοριζόμενο για την ενίσχυση των ελληνικών παραγωγών».</w:t>
      </w:r>
    </w:p>
    <w:p/>
    <w:p>
      <w:pPr/>
      <w:r>
        <w:rPr/>
        <w:t xml:space="preserve">Η μη εφαρμογή της διάταξης στερεί από τον οπτικοακουστικό τομέα ένα σημαντικό αναπτυξιακό χρηματοδοτικό πόρο, ο οποίος δεν συνεπάγεται καμία επιβάρυνση για τον κρατικό προϋπολογισμό. </w:t>
      </w:r>
    </w:p>
    <w:p/>
    <w:p/>
    <w:p/>
    <w:p>
      <w:pPr/>
      <w:r>
        <w:rPr/>
        <w:t xml:space="preserve"> Άρθρο 84</w:t>
      </w:r>
    </w:p>
    <w:p/>
    <w:p>
      <w:pPr/>
      <w:r>
        <w:rPr/>
        <w:t xml:space="preserve">Το άρθρο αυτό πρέπει να διαγραφεί στο σύνολό του, καθώς ρυθμίζει θέματα που ανήκουν στους Κανονισμούς Χρηματοδότησης και όχι σε τυπικό νόμο.</w:t>
      </w:r>
    </w:p>
    <w:p/>
    <w:p>
      <w:pPr/>
      <w:r>
        <w:rPr/>
        <w:t xml:space="preserve">Πιο συγκεκριμένα ζητούμε να απαλειφθεί η παρ. 8θ του συγκεκριμένου άρθρου.</w:t>
      </w:r>
    </w:p>
    <w:p/>
    <w:p>
      <w:pPr/>
      <w:r>
        <w:rPr/>
        <w:t xml:space="preserve">Επισημαίνουμε ότι η πρόβλεψη ανάκλησης της προέγκρισης χρηματοδότησης ή καταγγελίας της σύμβασης «για λόγους προστασίας του δημόσιου συμφέροντος» εισάγει μια εξαιρετικά αόριστη και ευρεία ρήτρα, χωρίς αντίστοιχο προηγούμενο στα ευρωπαϊκά συστήματα ενίσχυσης της κινηματογραφίας. Οι περιπτώσεις α) έως η) της ίδιας παραγράφου καλύπτουν ήδη με πληρότητα κάθε βάσιμο λόγο ανάκλησης: ψευδή στοιχεία, ουσιώδεις μεταβολές, παραβάσεις όρων, σύγκρουση συμφερόντων, παραβίαση εθνικής ή ενωσιακής νομοθεσίας. Η προσθήκη μιας γενικής ρήτρας «δημοσίου συμφέροντος» δεν προσθέτει καμία πραγματική εγγύηση· δημιουργεί όμως σοβαρή ανασφάλεια δικαίου για τους δημιουργούς και τους παραγωγούς, καθώς η χρηματοδότηση ενός έργου τέχνης καθίσταται ανακλητή με κριτήριο που δεν προσδιορίζεται και δεν μπορεί να προβλεφθεί. Σημειώνεται ότι η καλλιτεχνική δημιουργία προστατεύεται από το Σύνταγμα χωρίς αιρέσεις (αρθ. 16 &amp;· η στήριξή της δεν μπορεί να τελεί υπό τη γενική επιφύλαξη μιας έννοιας που ορίζεται κάθε φορά από τη διοίκηση.</w:t>
      </w:r>
    </w:p>
    <w:p/>
    <w:p/>
    <w:p>
      <w:pPr/>
      <w:r>
        <w:rPr/>
        <w:t xml:space="preserve">Άρθρο 85 </w:t>
      </w:r>
    </w:p>
    <w:p/>
    <w:p>
      <w:pPr/>
      <w:r>
        <w:rPr/>
        <w:t xml:space="preserve">Προτείνουμε την σύσταση πενταμελούς επιτροπής η οποία θα αποτελείται από 2 μέλη των Γενικών Διευθύνσεων του Ε.Κ.Κ.Ο.ΜΕ.Δ., α) τον Γενικό Διευθυντή Ελληνικού Κινηματογράφου του Ε.Κ.Κ.Ο.ΜΕ.Δ., ως Πρόεδρο, β) τον Γενικό Διευθυντή Οικονομικής και Διοικητικής Υποστήριξης του Ε.Κ.Κ.Ο.ΜΕ.Δ., ως μέλος, και 3 πρόσωπα με αποδεδειγμένη επαγγελματική εμπειρία στον κινηματογραφικό τομέα, που υποδεικνύονται από το Διοικητικό Συμβούλιο της Ε.Α.Κ. Εξαιρούνται οι εν ενεργεία Πρόεδρος και μέλη του ΔΣ καθώς και το πρόσωπο που έχει αναλάβει καθήκοντα Γενικής Διεύθυνσης της Ελληνικής Ακαδημίας Κινηματογράφου.</w:t>
      </w:r>
    </w:p>
    <w:p/>
    <w:p>
      <w:pPr/>
      <w:r>
        <w:rPr/>
        <w:t xml:space="preserve">Τα μέλη της επιτροπής θα λαμβάνουν την πλήρη εικόνα των εγκεκριμένων από τους «αναγνώστες/αξιολογητές» προτάσεων και την εισήγηση της Γενικής Διεύθυνσης Ανάπτυξης και Παραγωγής του Ελληνικού Κινηματογράφου, Οπτικοακουστικών Μέσων &amp; Δημιουργίας (Ε.Κ.Κ.Ο.ΜΕ.Δ.). Στις περιπτώσεις όπου προτάσεις που έχουν αξιολογηθεί από τους «αναγνώστες» βρίσκονται σε οριακή θέση λόγω μικρής βαθμολογικής διαφοράς, δύναται να καλούνται οι δημιουργικές ομάδες σε προσωπική συνέντευξη, ώστε να αξιολογείται πληρέστερα η δυναμική τους. Στο τέλος τα μέλη της Επιτροπής, θα προχωρούν στην τελική έγκριση και τον καταμερισμό των ποσών χρηματοδότησης.</w:t>
      </w:r>
    </w:p>
    <w:p/>
    <w:p>
      <w:pPr/>
      <w:r>
        <w:rPr/>
        <w:t xml:space="preserve">Η Επιτροπή είναι πλήρως ανεξάρτητη και η σύνθεσή της από την μεριά των επαγγελματιών του κινηματογραφικού τομέα αλλάζει σε κάθε κύκλο αξιολόγησης. Η  εισαγωγή της ως άνω λειτουργίας της Επιτροπής ενισχύει τη διαφάνεια, αλλά ταυτόχρονα επιτρέπει την αναγκαία ευελιξία ώστε να υποστηριχθούν έργα με ιδιαίτερη καλλιτεχνική ή παραγωγική δυναμική.</w:t>
      </w:r>
    </w:p>
    <w:p/>
    <w:p/>
    <w:p>
      <w:pPr/>
      <w:r>
        <w:rPr/>
        <w:t xml:space="preserve">Άρθρο 86</w:t>
      </w:r>
    </w:p>
    <w:p/>
    <w:p>
      <w:pPr/>
      <w:r>
        <w:rPr/>
        <w:t xml:space="preserve"> Προτείνουμε εδώ να οριστεί νομοθετικά  μέχρι πότε πρέπει να εκδοθούν οι σχετικοί Κανονισμοί Χρηματοδότησης από το ΔΣ του Ε.Κ.Κ.Ο.ΜΕ.Δ., καθώς και να προβλεφθεί υποχρεωτικό στάδιο διαβούλευσης με τα αντιπροσωπευτικότερα σωματεία του κλάδου.</w:t>
      </w:r>
    </w:p>
    <w:p/>
    <w:p>
      <w:pPr/>
      <w:r>
        <w:rPr/>
        <w:t xml:space="preserve"> </w:t>
      </w:r>
    </w:p>
    <w:p/>
    <w:p>
      <w:pPr/>
      <w:r>
        <w:rPr/>
        <w:t xml:space="preserve">Άρθρο 88 </w:t>
      </w:r>
    </w:p>
    <w:p/>
    <w:p>
      <w:pPr/>
      <w:r>
        <w:rPr/>
        <w:t xml:space="preserve">παρ. 2</w:t>
      </w:r>
    </w:p>
    <w:p/>
    <w:p>
      <w:pPr/>
      <w:r>
        <w:rPr/>
        <w:t xml:space="preserve">Μητρώο Εμπειρογνωμόνων Οπτικοακουστικού Δημιουργικού Τομέα </w:t>
      </w:r>
    </w:p>
    <w:p/>
    <w:p>
      <w:pPr/>
      <w:r>
        <w:rPr/>
        <w:t xml:space="preserve"> Η σύσταση του Μητρώου Εμπειρογνωμόνων Οπτικοακουστικού Δημιουργικού Τομέα εγείρει ερωτήματα και ασάφειες. Οι περισσότερες από τις ειδικότητες που προβλέπεται να συμμετέχουν σε αυτό δεν φαίνεται να συνδέονται άμεσα με την οπτικοακουστική παραγωγή. Επίσης, δεν είναι σαφές ποιος αξιολογεί τι και με βάση ποια κριτήρια.</w:t>
      </w:r>
    </w:p>
    <w:p/>
    <w:p>
      <w:pPr/>
      <w:r>
        <w:rPr/>
        <w:t xml:space="preserve">Παράλληλα, δεν διευκρινίζεται τι θα ισχύσει για τους σημερινούς «αναγνώστες/αξιολογητές». Στο σχέδιο νόμου αναφέρονται μόνο δύο φορές ως «εξωτερικοί αναγνώστες» (άρθρο 84 παρ. 2 περ. β΄), χωρίς καμία περαιτέρω αναφορά στον ρόλο, τις αρμοδιότητες ή τον τρόπο επιλογής τους.</w:t>
      </w:r>
    </w:p>
    <w:p/>
    <w:p>
      <w:pPr/>
      <w:r>
        <w:rPr/>
        <w:t xml:space="preserve">Με τα δεδομένα αυτά, είναι δύσκολο να θεωρήσουμε ότι μπορεί να επιτευχθεί ο στόχος του άρθρου 88 παρ. 2. Ο θεσμός των «εξωτερικών αναγνωστών» στα Επιλεκτικά Προγράμματα πρέπει να οριστεί με σαφήνεια στο παρόν νομοσχέδιο και να αποσαφηνιστούν οι αρμοδιότητές τους, όπως συμβαίνει και σήμερα.</w:t>
      </w:r>
    </w:p>
    <w:p/>
    <w:p>
      <w:pPr/>
      <w:r>
        <w:rPr>
          <w:b w:val="1"/>
          <w:bCs w:val="1"/>
        </w:rPr>
        <w:t xml:space="preserve">ΕΝΩΣΗ ΣΚΗΝΟΘΕΤΩΝ-ΠΑΡΑΓΩΓΩΝ ΕΛΛΗΝΙΚΟΥ ΚΙΝΗΜΑΤΟΓΡΑΦΟΥ – 20 Ιουλίου 2026, 03:15</w:t>
      </w:r>
    </w:p>
    <w:p>
      <w:pPr/>
      <w:r>
        <w:rPr/>
        <w:t xml:space="preserve">ΕΝΩΣΗ ΣΚΗΝΟΘΕΤΩΝ -  ΠΑΡΑΓΩΓΩΝ ΕΛΛΗΝΙΚΟΥ ΚΙΝΗΜΑΤΟΓΡΑΦΟΥ (ΕΣΠΕΚ)</w:t>
      </w:r>
    </w:p>
    <w:p/>
    <w:p/>
    <w:p>
      <w:pPr/>
      <w:r>
        <w:rPr/>
        <w:t xml:space="preserve">Σχόλια και προτάσεις για το: ΜΕΡΟΣ Δ΄ ΡΥΘΜΙΣΕΙΣ ΓΙΑ ΤΗΝ ΕΦΑΡΜΟΓΗ ΤΟΥ ΕΘΝΙΚΟΥ ΣΧΕΔΙΟΥ ΔΡΑΣΗΣ ΓΙΑ ΤΗΝ ΑΝΑΠΤΥΞΗ ΤΟΥ ΟΠΤΙΚΟΑΚΟΥΣΤΙΚΟΥ ΔΗΜΙΟΥΡΓΙΚΟΥ ΤΟΜΕΑ (Άρθρα 74-104)</w:t>
      </w:r>
    </w:p>
    <w:p/>
    <w:p/>
    <w:p>
      <w:pPr/>
      <w:r>
        <w:rPr/>
        <w:t xml:space="preserve">Το ασφυκτικό χρονοδιάγραμμα της διαβούλευσης, μας φέρνει σε ιδιαίτερα δύσκολη θέση, ιδίως όταν το υπό διαβούλευση κείμενο δεν ενσωματώνει ουσιαστικές θέσεις και προτάσεις που έχουν κατατεθεί επανειλημμένα από τους επαγγελματικούς φορείς και τα σωματεία του χώρου κατά το προηγούμενο διάστημα. Υπό αυτές τις συνθήκες, καλούμαστε να τοποθετηθούμε και να προτείνουμε διορθώσεις επί διατάξεων για τις οποίες διατηρούμε θεμελιώδεις διαφωνίες. </w:t>
      </w:r>
    </w:p>
    <w:p/>
    <w:p/>
    <w:p>
      <w:pPr/>
      <w:r>
        <w:rPr/>
        <w:t xml:space="preserve">Το αίτημα μας είναι ναι μεν να οριστεί το γενικό πλαίσιο των Επιλεκτικών Προγραμμάτων στο νομοσχέδιο αλλά οι διαδικασίες αξιολόγησης και χρηματοδότησης να οριστούν αναλυτικά στον Εσωτερικό κανονισμό του ΕΚΚΟΜΕΔ,  ο οποίος δύναται να τροποποιείται και να ρυθμίζεται στην πράξη ανά τακτά χρονικά διαστήματα, ώστε να παραμένει σύγχρονος με τις εκάστοτε ανάγκες.</w:t>
      </w:r>
    </w:p>
    <w:p/>
    <w:p/>
    <w:p>
      <w:pPr/>
      <w:r>
        <w:rPr/>
        <w:t xml:space="preserve">Θεωρούμε πως η σύνταξη ενός νομοσχεδίου που πλαισιώνει την Εθνική Κινηματογραφική Πολιτική για τα επόμενα χρόνια θα πρέπει να είναι αποτέλεσμα ουσιαστικής διαβούλευσης με την ενεργή κινηματογραφική κοινότητα ώστε να λειτουργήσει ως εργαλείο πραγματικής ανάπτυξης και κυρίως να μην εμπεριέχει προβληματικά άρθρα που διχάζουν προκαλώντας περισσότερα προβλήματα από όσα καλούνται να λύσουν. Θεωρούμε ότι ένα τόσο κρίσιμο θεσμικό πλαίσιο απαιτεί ουσιαστικό διάλογο, επαρκή χρόνο επεξεργασίας και πραγματική διαβούλευση με τους φορείς του κλάδου, ώστε να διαμορφωθεί ένα σύστημα που θα απολαμβάνει της ευρύτερης δυνατής αποδοχής και εμπιστοσύνης.</w:t>
      </w:r>
    </w:p>
    <w:p/>
    <w:p/>
    <w:p>
      <w:pPr/>
      <w:r>
        <w:rPr/>
        <w:t xml:space="preserve">Κάποια από τα προβληματικά σημεία που εντοπίσαμε και πρέπει να διορθωθούν είναι τα παρακάτω:</w:t>
      </w:r>
    </w:p>
    <w:p/>
    <w:p/>
    <w:p>
      <w:pPr/>
      <w:r>
        <w:rPr/>
        <w:t xml:space="preserve">Άρθρο 84. Παρ. 2β: Θα πρέπει να απαλειφθεί ο όρος Εξωτερικοί αναγνώστες καθώς αυτοί δεν ορίζονται. </w:t>
      </w:r>
    </w:p>
    <w:p/>
    <w:p/>
    <w:p>
      <w:pPr/>
      <w:r>
        <w:rPr/>
        <w:t xml:space="preserve">Άρθρο 88. Παρ. 3: Στα Επιλεκτικά Προγράμματα θα πρέπει να οριστεί ότι οι αναγνώστες είναι Σκηνοθέτες, Σεναριογράφοι ή Παραγωγοί με αναγνωρισμένη επαγγελματική εμπειρία και συμμετοχές σε διεθνή φεστιβάλ του κόσμου ή βραβευμένες συμμετοχές σε καθιερωμένα ελληνικά φεστιβάλ κατά την τελευταία 15ετία.</w:t>
      </w:r>
    </w:p>
    <w:p/>
    <w:p/>
    <w:p>
      <w:pPr/>
      <w:r>
        <w:rPr/>
        <w:t xml:space="preserve">Άρθρο 84. Παρ. 4: Τα δύο χρόνια προθεσμίας για την οριστικοποίηση του φακέλου παραγωγής θα πρέπει να γίνουν τουλάχιστον τέσσερα με δυνατότητα επέκτασης, εάν αποδεδειγμένα συντρέχουν λόγοι, ειδικότερα στα έργα υψηλού προϋπολογισμού, που είναι διεθνείς και ευρωπαϊκές συμπαραγωγές και αναζητούν παραπάνω πόρους για να καλυφθεί ο συνολικός προϋπολογισμός. </w:t>
      </w:r>
    </w:p>
    <w:p/>
    <w:p/>
    <w:p>
      <w:pPr/>
      <w:r>
        <w:rPr/>
        <w:t xml:space="preserve">Άρθρο 84. Παρ. 8θ: Θεωρούμε τον όρο Δημόσιο Συμφέρον άκρως προβληματικό και επικίνδυνο και δεν συμφωνούμε στον αποκλεισμό φυσικών ή νομικών προσώπων από τη συμμετοχή σε προγράμματα χρηματοδότησης. Η αοριστία των σχετικών διατυπώσεων εγείρει ζητήματα ασφάλειας δικαίου και ενδέχεται να δημιουργήσει ακόμη και ζητήματα συνταγματικότητας, καθώς δεν προσδιορίζονται με επαρκή σαφήνεια τα κριτήρια, οι προϋποθέσεις και οι εγγυήσεις που διέπουν έναν τόσο σοβαρό περιορισμό.</w:t>
      </w:r>
    </w:p>
    <w:p/>
    <w:p/>
    <w:p>
      <w:pPr/>
      <w:r>
        <w:rPr/>
        <w:t xml:space="preserve">Άρθρα 85:  Είμαστε αντίθετοι στη δημιουργία της προτεινόμενης «Κεντρικής Επιτροπής Αξιολόγησης και Επιλογής», μιας υπερ-επιτροπής που θα έχει την αρμοδιότητα να αποφασίζει επί του συνόλου των εγκρίσεων των επιλεκτικών προγραμμάτων.  Η συγκεκριμένη πρόβλεψη υπονομεύει έναν διαφανή και αξιόπιστο μηχανισμό αξιολόγησης, βασισμένο σε ανεξάρτητους αναγνώστες και σαφείς διαδικασίες κρίσης, ο οποίος, παρά τις επιμέρους αδυναμίες του στις οποίες έχουν γίνει προτάσεις βελτίωσης, διασφάλιζε μέχρι σήμερα την αναγκαία θεσμική απόσταση μεταξύ αξιολόγησης και τελικής διοικητικής απόφασης.</w:t>
      </w:r>
    </w:p>
    <w:p/>
    <w:p/>
    <w:p>
      <w:pPr/>
      <w:r>
        <w:rPr/>
        <w:t xml:space="preserve">Πιστεύουμε κατ'αρχάς πως πρέπει να νομοθετηθεί ο θεσμός των αναγνωστών, που θα δίνουν τις τελικές αξιολογήσεις. Θα πρέπει να παραμείνουν τρεις στην κάθε αξιολόγηση και να υπάρχει 4ος σε περίπτωση που δυο βαθμολογητές αποκλίνουν σε μεγάλο βαθμό. Και το θεωρούμε αυτονόητο να κρίνουν τις ταινίες με πλήρη φάκελο παραγωγής (σκηνοθέτης, σεναριογράφος, παραγωγός, καλλιτεχνική ομάδα) και ποτέ ανωνύμως. </w:t>
      </w:r>
    </w:p>
    <w:p/>
    <w:p/>
    <w:p>
      <w:pPr/>
      <w:r>
        <w:rPr/>
        <w:t xml:space="preserve">Προτείνουμε, τη θέσπιση τριών διακριτών ζωνών αξιολόγησης των προτάσεων:</w:t>
      </w:r>
    </w:p>
    <w:p/>
    <w:p>
      <w:pPr/>
      <w:r>
        <w:rPr/>
        <w:t xml:space="preserve">Α) Υψηλή ζώνη: Προτάσεις με πολύ υψηλή βαθμολογία αναγνωστών να εγκρίνονται απευθείας.</w:t>
      </w:r>
    </w:p>
    <w:p/>
    <w:p>
      <w:pPr/>
      <w:r>
        <w:rPr/>
        <w:t xml:space="preserve">Β) Χαμηλή ζώνη: Προτάσεις με σαφώς χαμηλή βαθμολογία να απορρίπτονται χωρίς περαιτέρω διαδικασία.</w:t>
      </w:r>
    </w:p>
    <w:p/>
    <w:p>
      <w:pPr/>
      <w:r>
        <w:rPr/>
        <w:t xml:space="preserve">Γ) Οριακή ζώνη: Προτάσεις που βρίσκονται κοντά στο όριο χρηματοδότησης και έχουν βαθμολογική διαφορά μεταξύ τους έως και 10%. Αυτές θα πρέπει να καλούνται σε προσωπική συνέντευξη, ώστε να αξιολογείται πληρέστερα η δυναμική τους.</w:t>
      </w:r>
    </w:p>
    <w:p/>
    <w:p/>
    <w:p>
      <w:pPr/>
      <w:r>
        <w:rPr/>
        <w:t xml:space="preserve">Προτείνουμε τέλος, την σύσταση πενταμελούς επιτροπής η οποία θα αποτελείται από 2 μέλη των Γενικών Διευθύνσεων του ΕΚΚΟΜΕΔ, α) τον Γενικό Διευθυντή Ελληνικού Κινηματογράφου του Ε.Κ.Κ.Ο.ΜΕ.Δ., ως Πρόεδρο, β) τον Γενικό Διευθυντή Οικονομικής και Διοικητικής Υποστήριξης του Ε.Κ.Κ.Ο.ΜΕ.Δ., ως μέλος, και 3 πρόσωπα με αποδεδειγμένη επαγγελματική εμπειρία στον κινηματογραφικό τομέα, που υποδεικνύονται από το Διοικητικό Συμβούλιο της Ελληνικής Ακαδημίας Κινηματογράφου. Εξαιρούνται οι εν ενεργεία Πρόεδρος και μέλη του ΔΣ. Τα μέλη της επιτροπής θα λαμβάνουν την πλήρη εικόνα των εγκεκριμένων από τους «αναγνώστες» προτάσεων και την εισήγηση της Γενικής Διεύθυνσης Ανάπτυξης και Παραγωγής του Ελληνικού Κινηματογράφου, Οπτικοακουστικών Μέσων &amp; Δημιουργίας (ΕΚΚΟΜΕΔ), προκειμένου να την επικυρώσουν και να προχωρήσουν στην τελική έγκριση και στον καταμερισμό των ποσών χρηματοδότησης. Στις περιπτώσεις όπου προτάσεις που έχουν αξιολογηθεί από τους «αναγνώστες» βρίσκονται σε οριακή θέση λόγω μικρής βαθμολογικής διαφοράς, δύναται να καλούνται οι δημιουργικές ομάδες σε προσωπική συνέντευξη, ώστε να αξιολογείται πληρέστερα η δυναμική τους.</w:t>
      </w:r>
    </w:p>
    <w:p/>
    <w:p/>
    <w:p>
      <w:pPr/>
      <w:r>
        <w:rPr/>
        <w:t xml:space="preserve">Η Επιτροπή θα είναι πλήρως ανεξάρτητη και η σύνθεσή της από την μεριά των επαγγελματιών του κινηματογραφικού τομέα θα αλλάζει σε κάθε κύκλο αξιολόγησης. Η  εισαγωγή της ως άνω λειτουργίας της Επιτροπής ενισχύει τη διαφάνεια, αλλά ταυτόχρονα επιτρέπει την αναγκαία ευελιξία ώστε να υποστηριχθούν έργα με ιδιαίτερη καλλιτεχνική ή παραγωγική δυναμική.</w:t>
      </w:r>
    </w:p>
    <w:p/>
    <w:p/>
    <w:p/>
    <w:bookmarkStart w:id="4" w:name="og_article_5"/>
    <w:bookmarkEnd w:id="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5 – ΜΕΡΟΣ Ε’ ΛΟΙΠΕΣ ΔΙΑΤΑΞΕΙΣ ΑΡΜΟΔΙΟΤΗΤΑΣ ΤΟΥ ΥΠΟΥΡΓΕΙΟΥ ΠΟΛΙΤΙΣΜΟΥ (Άρθρα 105-127)</w:t>
      </w:r>
    </w:p>
    <w:p>
      <w:pPr>
        <w:jc w:val="both"/>
      </w:pPr>
      <w:r>
        <w:rPr>
          <w:sz w:val="22"/>
          <w:szCs w:val="22"/>
          <w:b w:val="1"/>
          <w:bCs w:val="1"/>
        </w:rPr>
        <w:t xml:space="preserve">ΚΕΦΑΛΑΙΟ Α΄</w:t>
      </w:r>
    </w:p>
    <w:p>
      <w:pPr>
        <w:jc w:val="both"/>
      </w:pPr>
      <w:r>
        <w:rPr>
          <w:sz w:val="22"/>
          <w:szCs w:val="22"/>
          <w:b w:val="1"/>
          <w:bCs w:val="1"/>
        </w:rPr>
        <w:t xml:space="preserve">ΓΕΝΙΚΕΣ ΔΙΑΤΑΞΕΙΣ</w:t>
      </w:r>
    </w:p>
    <w:p>
      <w:pPr>
        <w:jc w:val="both"/>
      </w:pPr>
      <w:r>
        <w:rPr>
          <w:sz w:val="22"/>
          <w:szCs w:val="22"/>
          <w:b w:val="1"/>
          <w:bCs w:val="1"/>
        </w:rPr>
        <w:t xml:space="preserve"> </w:t>
      </w:r>
    </w:p>
    <w:p>
      <w:pPr>
        <w:jc w:val="both"/>
      </w:pPr>
      <w:r>
        <w:rPr>
          <w:sz w:val="22"/>
          <w:szCs w:val="22"/>
          <w:b w:val="1"/>
          <w:bCs w:val="1"/>
        </w:rPr>
        <w:t xml:space="preserve">Άρθρο 105</w:t>
      </w:r>
    </w:p>
    <w:p>
      <w:pPr>
        <w:jc w:val="both"/>
      </w:pPr>
      <w:r>
        <w:rPr>
          <w:sz w:val="22"/>
          <w:szCs w:val="22"/>
          <w:b w:val="1"/>
          <w:bCs w:val="1"/>
        </w:rPr>
        <w:t xml:space="preserve">Σκοπός</w:t>
      </w:r>
    </w:p>
    <w:p>
      <w:pPr>
        <w:jc w:val="both"/>
      </w:pPr>
      <w:r>
        <w:rPr>
          <w:sz w:val="22"/>
          <w:szCs w:val="22"/>
          <w:b w:val="1"/>
          <w:bCs w:val="1"/>
        </w:rPr>
        <w:t xml:space="preserve"> </w:t>
      </w:r>
    </w:p>
    <w:p>
      <w:pPr>
        <w:jc w:val="both"/>
      </w:pPr>
      <w:r>
        <w:rPr>
          <w:sz w:val="22"/>
          <w:szCs w:val="22"/>
        </w:rPr>
        <w:t xml:space="preserve">Σκοπός του παρόντος Μέρους είναι:</w:t>
      </w:r>
    </w:p>
    <w:p>
      <w:pPr>
        <w:jc w:val="both"/>
      </w:pPr>
      <w:r>
        <w:rPr>
          <w:sz w:val="22"/>
          <w:szCs w:val="22"/>
        </w:rPr>
        <w:t xml:space="preserve">α) η αντιμετώπιση επιμέρους ζητημάτων που έχουν ανακύψει σε υπηρεσίες και εποπτευόμενους φορείς του Υπουργείου Πολιτισμού, με στόχο την καλύτερη, ορθολογικότερη και αποδοτικότερη άσκηση των αρμοδιοτήτων τους,</w:t>
      </w:r>
    </w:p>
    <w:p>
      <w:pPr>
        <w:jc w:val="both"/>
      </w:pPr>
      <w:r>
        <w:rPr>
          <w:sz w:val="22"/>
          <w:szCs w:val="22"/>
        </w:rPr>
        <w:t xml:space="preserve">β) η επίλυση ζητημάτων που αφορούν στους Οργανισμούς Συλλογικής Διαχείρισης Πνευματικών και Συγγενικών Δικαιωμάτων σε σχέση με την εύλογη αμοιβή των άρθρων 18 και 49 του ν. 2121/1993 (Α’ 25) και τις πολιτιστικές κρατήσεις, και</w:t>
      </w:r>
    </w:p>
    <w:p>
      <w:pPr>
        <w:jc w:val="both"/>
      </w:pPr>
      <w:r>
        <w:rPr>
          <w:sz w:val="22"/>
          <w:szCs w:val="22"/>
        </w:rPr>
        <w:t xml:space="preserve">γ) η ρύθμιση εκκρεμών ζητημάτων μη διανεμηθέντων ή μη εισπραχθέντων πνευματικών δικαιωμάτων της τελούσας υπό πτώχευση πρώην Ανεξάρτητης Οντότητας Διαχείρισης (εφεξής: πρώην Α.Ο.Δ.) με την επωνυμία «ΑΕΠΙ – Ελληνική Εταιρία προς Προστασίαν της Πνευματικής Ιδιοκτησίας Α.Ε.», προκειμένου αυτά να αποδοθούν στους δικαιούχους πνευματικούς δημιουργούς και να ολοκληρωθεί η πτωχευτική διαδικασία.</w:t>
      </w:r>
    </w:p>
    <w:p>
      <w:pPr>
        <w:jc w:val="both"/>
      </w:pPr>
      <w:r>
        <w:rPr>
          <w:sz w:val="22"/>
          <w:szCs w:val="22"/>
        </w:rPr>
        <w:t xml:space="preserve"> </w:t>
      </w:r>
    </w:p>
    <w:p>
      <w:pPr>
        <w:jc w:val="both"/>
      </w:pPr>
      <w:r>
        <w:rPr>
          <w:sz w:val="22"/>
          <w:szCs w:val="22"/>
          <w:b w:val="1"/>
          <w:bCs w:val="1"/>
        </w:rPr>
        <w:t xml:space="preserve">Άρθρο 106</w:t>
      </w:r>
    </w:p>
    <w:p>
      <w:pPr>
        <w:jc w:val="both"/>
      </w:pPr>
      <w:r>
        <w:rPr>
          <w:sz w:val="22"/>
          <w:szCs w:val="22"/>
          <w:b w:val="1"/>
          <w:bCs w:val="1"/>
        </w:rPr>
        <w:t xml:space="preserve">Αντικείμενο</w:t>
      </w:r>
    </w:p>
    <w:p>
      <w:pPr>
        <w:jc w:val="both"/>
      </w:pPr>
      <w:r>
        <w:rPr>
          <w:sz w:val="22"/>
          <w:szCs w:val="22"/>
        </w:rPr>
        <w:t xml:space="preserve">Αντικείμενο του παρόντος Μέρους είναι:</w:t>
      </w:r>
    </w:p>
    <w:p>
      <w:pPr>
        <w:jc w:val="both"/>
      </w:pPr>
      <w:r>
        <w:rPr>
          <w:sz w:val="22"/>
          <w:szCs w:val="22"/>
        </w:rPr>
        <w:t xml:space="preserve">α) η θέσπιση ειδικής διαδικασίας για την κατάρτιση σχεδίων διαχείρισης των οργανωμένων και επισκέψιμων αρχαιολογικών χώρων, κατά την έννοια του άρθρου 46 του Κώδικα νομοθεσίας για την προστασία των αρχαιοτήτων και εν γένει της πολιτιστικής κληρονομιάς (ν. 4858/2021, Α’ 220), και των χώρων που έχουν εγγραφεί στον Κατάλογο Μνημείων Παγκόσμιας Κληρονομιάς της UNESCO,</w:t>
      </w:r>
    </w:p>
    <w:p>
      <w:pPr>
        <w:jc w:val="both"/>
      </w:pPr>
      <w:r>
        <w:rPr>
          <w:sz w:val="22"/>
          <w:szCs w:val="22"/>
        </w:rPr>
        <w:t xml:space="preserve">β) η εισαγωγή ορισμού για το αρχαιολογικό πάρκο,</w:t>
      </w:r>
    </w:p>
    <w:p>
      <w:pPr>
        <w:jc w:val="both"/>
      </w:pPr>
      <w:r>
        <w:rPr>
          <w:sz w:val="22"/>
          <w:szCs w:val="22"/>
        </w:rPr>
        <w:t xml:space="preserve">γ) η σύσταση και λειτουργία της Εθνικής Φωτοθήκης και του Ιστορικού Αρχείου Αρχαιοτήτων και Αναστηλώσεων στο Υπουργείο Πολιτισμού,</w:t>
      </w:r>
    </w:p>
    <w:p>
      <w:pPr>
        <w:jc w:val="both"/>
      </w:pPr>
      <w:r>
        <w:rPr>
          <w:sz w:val="22"/>
          <w:szCs w:val="22"/>
        </w:rPr>
        <w:t xml:space="preserve">δ) η συμπλήρωση του σκοπού του νομικού προσώπου ιδιωτικού δικαίου με την επωνυμία «Οργανισμός Μεγάρου Μουσικής Θεσσαλονίκης»,</w:t>
      </w:r>
    </w:p>
    <w:p>
      <w:pPr>
        <w:jc w:val="both"/>
      </w:pPr>
      <w:r>
        <w:rPr>
          <w:sz w:val="22"/>
          <w:szCs w:val="22"/>
        </w:rPr>
        <w:t xml:space="preserve">ε) η ρύθμιση θεμάτων του προσωπικού του νομικού προσώπου ιδιωτικού δικαίου με την επωνυμία «Οργανισμός Μεγάρου Μουσικής Θεσσαλονίκης»,</w:t>
      </w:r>
    </w:p>
    <w:p>
      <w:pPr>
        <w:jc w:val="both"/>
      </w:pPr>
      <w:r>
        <w:rPr>
          <w:sz w:val="22"/>
          <w:szCs w:val="22"/>
        </w:rPr>
        <w:t xml:space="preserve">στ) η ρύθμιση θεμάτων του προσωπικού του νομικού προσώπου δημοσίου δικαίου με την επωνυμία «Εθνική Πινακοθήκη και Μουσείο Αλεξάνδρου Σούτσου»,</w:t>
      </w:r>
    </w:p>
    <w:p>
      <w:pPr>
        <w:jc w:val="both"/>
      </w:pPr>
      <w:r>
        <w:rPr>
          <w:sz w:val="22"/>
          <w:szCs w:val="22"/>
        </w:rPr>
        <w:t xml:space="preserve">ζ) η διατήρηση του συστήματος προσωρινού προσδιορισμού του ύψους και των όρων πληρωμής της εύλογης αμοιβής του άρθρου 49 του ν. 2121/1993 (Α’ 25), προς επίτευξη της ταχείας είσπραξης της αμοιβής και της προστασίας του δικαιούχου από ενδεχόμενη αφερεγγυότητα του χρήστη,</w:t>
      </w:r>
    </w:p>
    <w:p>
      <w:pPr>
        <w:jc w:val="both"/>
      </w:pPr>
      <w:r>
        <w:rPr>
          <w:sz w:val="22"/>
          <w:szCs w:val="22"/>
        </w:rPr>
        <w:t xml:space="preserve">η) η πλήρης ενσωμάτωση της παρ. 4 του άρθρου 12 της Οδηγίας 2014/26/ΕΕ του Ευρωπαϊκού Κοινοβουλίου και του Συμβουλίου, της 26ης Φεβρουαρίου 2014, για τη συλλογική διαχείριση δικαιωμάτων πνευματικής ιδιοκτησίας και συγγενικών δικαιωμάτων, καθώς και τη χορήγηση πολυεδαφικών αδειών για επιγραμμικές χρήσεις μουσικών έργων στην εσωτερική αγορά (L 84), και ο εξορθολογισμός της λειτουργίας των Οργανισμών Συλλογικής Διαχείρισης (εφεξής: Ο.Σ.Δ.) κατά την άσκηση της αρμοδιότητας παροχής κοινωνικών, πολιτιστικών ή εκπαιδευτικών υπηρεσιών προς όφελος των δικαιούχων,</w:t>
      </w:r>
    </w:p>
    <w:p>
      <w:pPr>
        <w:jc w:val="both"/>
      </w:pPr>
      <w:r>
        <w:rPr>
          <w:sz w:val="22"/>
          <w:szCs w:val="22"/>
        </w:rPr>
        <w:t xml:space="preserve">θ) η ακριβής απαρίθμηση των πόρων και χρηματοδοτικών εργαλείων που δύναται να αξιοποιεί το νομικό πρόσωπο ιδιωτικού δικαίου με την επωνυμία «Οργανισμός Πνευματικής Ιδιοκτησίας» για την αποτελεσματικότερη άσκηση των αρμοδιοτήτων του,</w:t>
      </w:r>
    </w:p>
    <w:p>
      <w:pPr>
        <w:jc w:val="both"/>
      </w:pPr>
      <w:r>
        <w:rPr>
          <w:sz w:val="22"/>
          <w:szCs w:val="22"/>
        </w:rPr>
        <w:t xml:space="preserve">ι) η ρύθμιση της δυνατότητας ορισμού υπαλλήλου ή λειτουργού φορέα της Γενικής Κυβέρνησης στη θέση του Διευθυντή του Οργανισμού Πνευματικής Ιδιοκτησίας και της υπηρεσιακής κατάστασής του,</w:t>
      </w:r>
    </w:p>
    <w:p>
      <w:pPr>
        <w:jc w:val="both"/>
      </w:pPr>
      <w:r>
        <w:rPr>
          <w:sz w:val="22"/>
          <w:szCs w:val="22"/>
        </w:rPr>
        <w:t xml:space="preserve">ια) η ρύθμιση της ενεργητικής νομιμοποίησης του συνδίκου της πτώχευσης της πρώην Α.Ο.Δ. για τη διαχείριση τυχόν αδιάθετων χρηματικών ποσών που είναι κατατεθειμένα στους χωριστούς ειδικούς τραπεζικούς λογαριασμούς της περ. α) της παρ. 2 του άρθρου 17 του ν. 4481/2017 (Α’ 100), καθώς και για τη διαχείριση και την είσπραξη απαιτήσεων κατά χρηστών πνευματικών δικαιωμάτων, οι οποίες είχαν τιμολογηθεί από την πρώην Α.Ο.Δ. πριν από την ανάκληση της άδειάς της και δεν έχουν εισπραχθεί,</w:t>
      </w:r>
    </w:p>
    <w:p>
      <w:pPr>
        <w:jc w:val="both"/>
      </w:pPr>
      <w:r>
        <w:rPr>
          <w:sz w:val="22"/>
          <w:szCs w:val="22"/>
        </w:rPr>
        <w:t xml:space="preserve">ιβ) η συμπλήρωση του θεσμικού πλαισίου που διέπει τη συγκρότηση του Διοικητικού Συμβουλίου του νομικού προσώπου ιδιωτικού δικαίου με την επωνυμία «Ευρωπαϊκό Κέντρο Βυζαντινών και Μεταβυζαντινών Μνημείων»,</w:t>
      </w:r>
    </w:p>
    <w:p>
      <w:pPr>
        <w:jc w:val="both"/>
      </w:pPr>
      <w:r>
        <w:rPr>
          <w:sz w:val="22"/>
          <w:szCs w:val="22"/>
        </w:rPr>
        <w:t xml:space="preserve">ιγ) η επικαιροποίηση του φορέα από τον οποίο αντλούνται στοιχεία εισοδήματος για τους σκοπούς του Μητρώου Απασχολούμενων στον Πολιτισμό του Κεφαλαίου Α’ του Μέρους ΣΤ’ του ν. 5039/2023 (Α’ 83),</w:t>
      </w:r>
    </w:p>
    <w:p>
      <w:pPr>
        <w:jc w:val="both"/>
      </w:pPr>
      <w:r>
        <w:rPr>
          <w:sz w:val="22"/>
          <w:szCs w:val="22"/>
        </w:rPr>
        <w:t xml:space="preserve">ιδ) η παράταση της προθεσμίας περάτωσης της εκκαθάρισης του Ταμείου Αλληλοβοηθείας Υπαλλήλων του Υπουργείου Πολιτισμού,</w:t>
      </w:r>
    </w:p>
    <w:p>
      <w:pPr>
        <w:jc w:val="both"/>
      </w:pPr>
      <w:r>
        <w:rPr>
          <w:sz w:val="22"/>
          <w:szCs w:val="22"/>
        </w:rPr>
        <w:t xml:space="preserve">ιε) η συμπλήρωση του θεσμικού πλαισίου που διέπει τη συγκρότηση του Διοικητικού Συμβουλίου του νομικού προσώπου δημοσίου δικαίου με την επωνυμία «Μουσείο Ακρόπολης» και</w:t>
      </w:r>
    </w:p>
    <w:p>
      <w:pPr>
        <w:jc w:val="both"/>
      </w:pPr>
      <w:r>
        <w:rPr>
          <w:sz w:val="22"/>
          <w:szCs w:val="22"/>
        </w:rPr>
        <w:t xml:space="preserve">ιστ) η ρύθμιση θεμάτων του προσωπικού του Υπουργείου Πολιτισμού που απασχολείται σε έργα του Προγράμματος «Αντώνης Τρίτσης».</w:t>
      </w:r>
    </w:p>
    <w:p>
      <w:pPr>
        <w:jc w:val="both"/>
      </w:pPr>
      <w:r>
        <w:rPr>
          <w:sz w:val="22"/>
          <w:szCs w:val="22"/>
          <w:b w:val="1"/>
          <w:bCs w:val="1"/>
        </w:rPr>
        <w:t xml:space="preserve"> </w:t>
      </w:r>
    </w:p>
    <w:p>
      <w:pPr>
        <w:jc w:val="both"/>
      </w:pPr>
      <w:r>
        <w:rPr>
          <w:sz w:val="22"/>
          <w:szCs w:val="22"/>
          <w:b w:val="1"/>
          <w:bCs w:val="1"/>
        </w:rPr>
        <w:t xml:space="preserve">ΚΕΦΑΛΑΙΟ Β’</w:t>
      </w:r>
    </w:p>
    <w:p>
      <w:pPr>
        <w:jc w:val="both"/>
      </w:pPr>
      <w:r>
        <w:rPr>
          <w:sz w:val="22"/>
          <w:szCs w:val="22"/>
          <w:b w:val="1"/>
          <w:bCs w:val="1"/>
        </w:rPr>
        <w:t xml:space="preserve">ΡΥΘΜΙΣΕΙΣ ΓΙΑ ΤΗΝ ΠΡΟΣΤΑΣΙΑ ΤΩΝ ΑΡΧΑΙΟΤΗΤΩΝ ΚΑΙ ΤΗΣ ΠΟΛΙΤΙΣΤΙΚΗΣ ΚΛΗΡΟΝΟΜΙΑΣ</w:t>
      </w:r>
    </w:p>
    <w:p>
      <w:pPr>
        <w:jc w:val="both"/>
      </w:pPr>
      <w:r>
        <w:rPr>
          <w:sz w:val="22"/>
          <w:szCs w:val="22"/>
          <w:b w:val="1"/>
          <w:bCs w:val="1"/>
        </w:rPr>
        <w:t xml:space="preserve"> </w:t>
      </w:r>
    </w:p>
    <w:p>
      <w:pPr>
        <w:jc w:val="both"/>
      </w:pPr>
      <w:r>
        <w:rPr>
          <w:sz w:val="22"/>
          <w:szCs w:val="22"/>
          <w:b w:val="1"/>
          <w:bCs w:val="1"/>
        </w:rPr>
        <w:t xml:space="preserve">Άρθρο 107</w:t>
      </w:r>
    </w:p>
    <w:p>
      <w:pPr>
        <w:jc w:val="both"/>
      </w:pPr>
      <w:r>
        <w:rPr>
          <w:sz w:val="22"/>
          <w:szCs w:val="22"/>
          <w:b w:val="1"/>
          <w:bCs w:val="1"/>
        </w:rPr>
        <w:t xml:space="preserve">Κατάρτιση σχεδίων διαχείρισης αρχαιολογικών χώρων – Προσθήκη άρθρου 9Α και παρ. 2Α στο άρθρο 73 του Κώδικα νομοθεσίας για την προστασία των αρχαιοτήτων και εν γένει της πολιτιστικής κληρονομιάς</w:t>
      </w:r>
    </w:p>
    <w:p>
      <w:pPr>
        <w:numPr>
          <w:ilvl w:val="0"/>
          <w:numId w:val="78"/>
        </w:numPr>
      </w:pPr>
      <w:r>
        <w:rPr>
          <w:sz w:val="22"/>
          <w:szCs w:val="22"/>
        </w:rPr>
        <w:t xml:space="preserve">Στον Κώδικα νομοθεσίας για την προστασία των αρχαιοτήτων και εν γένει της πολιτιστικής κληρονομιάς (ν. 4858/2021, Α’ 220) προστίθεται άρθρο 9Α ως εξής:</w:t>
      </w:r>
    </w:p>
    <w:p>
      <w:pPr>
        <w:jc w:val="both"/>
      </w:pPr>
      <w:r>
        <w:rPr>
          <w:sz w:val="22"/>
          <w:szCs w:val="22"/>
        </w:rPr>
        <w:t xml:space="preserve">«Άρθρο 9Α</w:t>
      </w:r>
    </w:p>
    <w:p>
      <w:pPr>
        <w:jc w:val="both"/>
      </w:pPr>
      <w:r>
        <w:rPr>
          <w:sz w:val="22"/>
          <w:szCs w:val="22"/>
        </w:rPr>
        <w:t xml:space="preserve">Κατάρτιση σχεδίων διαχείρισης αρχαιολογικών χώρων</w:t>
      </w:r>
    </w:p>
    <w:p>
      <w:pPr>
        <w:jc w:val="both"/>
      </w:pPr>
      <w:r>
        <w:rPr>
          <w:sz w:val="22"/>
          <w:szCs w:val="22"/>
        </w:rPr>
        <w:t xml:space="preserve"> </w:t>
      </w:r>
    </w:p>
    <w:p>
      <w:pPr>
        <w:numPr>
          <w:ilvl w:val="0"/>
          <w:numId w:val="79"/>
        </w:numPr>
      </w:pPr>
      <w:r>
        <w:rPr>
          <w:sz w:val="22"/>
          <w:szCs w:val="22"/>
        </w:rPr>
        <w:t xml:space="preserve">Οι αρμόδιες υπηρεσίες του Υπουργείου Πολιτισμού προβαίνουν στην κατάρτιση σχεδίων διαχείρισης των οργανωμένων και επισκέψιμων αρχαιολογικών χώρων, κατά την έννοια του άρθρου 46, και των χώρων που έχουν εγγραφεί στον Κατάλογο Μνημείων Παγκόσμιας Κληρονομιάς της UNESCO. Τα σχέδια του πρώτου εδαφίου εγκρίνονται με απόφαση του αρμόδιου οργάνου του Υπουργείου Πολιτισμού, μετά από γνώμη του Κεντρικού Αρχαιολογικού Συμβουλίου.</w:t>
      </w:r>
    </w:p>
    <w:p>
      <w:pPr>
        <w:numPr>
          <w:ilvl w:val="0"/>
          <w:numId w:val="79"/>
        </w:numPr>
      </w:pPr>
      <w:r>
        <w:rPr>
          <w:sz w:val="22"/>
          <w:szCs w:val="22"/>
        </w:rPr>
        <w:t xml:space="preserve">Τα σχέδια της παρ. 1 περιλαμβάνουν, ιδίως, τις δράσεις που απαιτούνται για:</w:t>
      </w:r>
    </w:p>
    <w:p>
      <w:pPr>
        <w:jc w:val="both"/>
      </w:pPr>
      <w:r>
        <w:rPr>
          <w:sz w:val="22"/>
          <w:szCs w:val="22"/>
        </w:rPr>
        <w:t xml:space="preserve">α) την τεκμηρίωση και τη μελέτη των χώρων και των μνημείων της παρ. 1, καθώς και τη διατήρηση των φυσικών και πολιτιστικών χαρακτηριστικών τους,</w:t>
      </w:r>
    </w:p>
    <w:p>
      <w:pPr>
        <w:jc w:val="both"/>
      </w:pPr>
      <w:r>
        <w:rPr>
          <w:sz w:val="22"/>
          <w:szCs w:val="22"/>
        </w:rPr>
        <w:t xml:space="preserve">β) τη διασφάλιση της ακεραιότητας και της αυθεντικότητας των χώρων,</w:t>
      </w:r>
    </w:p>
    <w:p>
      <w:pPr>
        <w:jc w:val="both"/>
      </w:pPr>
      <w:r>
        <w:rPr>
          <w:sz w:val="22"/>
          <w:szCs w:val="22"/>
        </w:rPr>
        <w:t xml:space="preserve">γ) την ενίσχυση της κοινωνικής χρήσης και της αλληλεπίδρασης των χώρων με την κοινότητα, με την εφαρμογή ολοκληρωμένων, βιώσιμων και αποτελεσματικών προσεγγίσεων και στρατηγικών</w:t>
      </w:r>
    </w:p>
    <w:p>
      <w:pPr>
        <w:jc w:val="both"/>
      </w:pPr>
      <w:r>
        <w:rPr>
          <w:sz w:val="22"/>
          <w:szCs w:val="22"/>
        </w:rPr>
        <w:t xml:space="preserve">δ) την πρόληψη, την αντιμετώπιση και τον μετριασμό των φυσικών και ανθρωπογενών κινδύνων, με έμφαση στις επιπτώσεις της κλιματικής αλλαγής,</w:t>
      </w:r>
    </w:p>
    <w:p>
      <w:pPr>
        <w:jc w:val="both"/>
      </w:pPr>
      <w:r>
        <w:rPr>
          <w:sz w:val="22"/>
          <w:szCs w:val="22"/>
        </w:rPr>
        <w:t xml:space="preserve">ε) την ανάπτυξη συστήματος παρακολούθησης της εφαρμογής του σχεδίου διαχείρισης,</w:t>
      </w:r>
    </w:p>
    <w:p>
      <w:pPr>
        <w:jc w:val="both"/>
      </w:pPr>
      <w:r>
        <w:rPr>
          <w:sz w:val="22"/>
          <w:szCs w:val="22"/>
        </w:rPr>
        <w:t xml:space="preserve">στ) τη διασφάλιση της βιώσιμης ανάπτυξης, με μέριμνα για την ισόρροπη συνύπαρξη της πολιτιστικής κληρονομιάς με την κοινωνική και οικονομική ανάπτυξη, την περιβαλλοντική προστασία, την ορθολογική διαχείριση των φυσικών πόρων και τη ρύθμιση της επισκεψιμότητας, κατά τρόπο που να μην θίγονται οι χώροι και τα μνημεία,</w:t>
      </w:r>
    </w:p>
    <w:p>
      <w:pPr>
        <w:jc w:val="both"/>
      </w:pPr>
      <w:r>
        <w:rPr>
          <w:sz w:val="22"/>
          <w:szCs w:val="22"/>
        </w:rPr>
        <w:t xml:space="preserve">ζ) την ασφαλή πρόσβαση και την εξασφάλιση των απαραίτητων υποδομών επίσκεψης και</w:t>
      </w:r>
    </w:p>
    <w:p>
      <w:pPr>
        <w:jc w:val="both"/>
      </w:pPr>
      <w:r>
        <w:rPr>
          <w:sz w:val="22"/>
          <w:szCs w:val="22"/>
        </w:rPr>
        <w:t xml:space="preserve">η) την ερμηνεία και την προβολή των μνημείων και των χώρων.</w:t>
      </w:r>
    </w:p>
    <w:p>
      <w:pPr>
        <w:numPr>
          <w:ilvl w:val="0"/>
          <w:numId w:val="80"/>
        </w:numPr>
      </w:pPr>
      <w:r>
        <w:rPr>
          <w:sz w:val="22"/>
          <w:szCs w:val="22"/>
        </w:rPr>
        <w:t xml:space="preserve">Κατά την κατάρτιση των σχεδίων της παρ. 1 του παρόντος οι αρμόδιες υπηρεσίες του Υπουργείου Πολιτισμού δύνανται να συνεργάζονται με φορείς του δημόσιου τομέα, όπως αυτός ορίζεται στην περ. α) της παρ. 1 του άρθρου 14 του ν. 4270/2014 (Α` 143), Οργανισμούς Τοπικής Αυτοδιοίκησης Α` ή Β` βαθμού, φορείς της Κοινωνίας των Πολιτών, νομικά πρόσωπα κοινωφελούς χαρακτήρα, ξένες αρχαιολογικές σχολές και ινστιτούτα, πανεπιστημιακά ιδρύματα και ερευνητικά κέντρα, τα νομικά πρόσωπα του άρθρου 1 του ν. 590/1977 (Α’ 146) και του ν. 4149/1961 (Α’ 41), τα θρησκευτικά και εκκλησιαστικά νομικά πρόσωπα του άρθρου 13 του ν. 4301/2014 (Α’ 223), τα νομικά πρόσωπα του άρθρου 117 του ν. 4821/2021 (Α’ 134), τις εκκλησιαστικές επαρχίες του Οικουμενικού Πατριαρχείου στη Δωδεκάνησο σύμφωνα με τα άρθρα 318 και 320 του ν. 4957/2022 (Α’ 141), τα νομικά πρόσωπα δημοσίου δικαίου του άρθρου 1 του ν. 2456/1920 (Α’ 173) και του άρθρου 1 του ν.δ. 301/1969 (Α’ 195), ιδιοκτήτες ή χρήστες μνημείων .</w:t>
      </w:r>
    </w:p>
    <w:p>
      <w:pPr>
        <w:numPr>
          <w:ilvl w:val="0"/>
          <w:numId w:val="80"/>
        </w:numPr>
      </w:pPr>
      <w:r>
        <w:rPr>
          <w:sz w:val="22"/>
          <w:szCs w:val="22"/>
        </w:rPr>
        <w:t xml:space="preserve">Τα σχέδια της παρ. 1, πριν από την έγκρισή τους, αναρτώνται για τριάντα (30) εργάσιμες ημέρες στον διαδικτυακό τόπο «Ανοικτή Διακυβέρνηση/OpenGov», καθώς και στην ιστοσελίδα του Υπουργείου Πολιτισμού. Οι ενδιαφερόμενοι μπορούν μέσα στην προθεσμία αυτή να λάβουν γνώση του περιεχομένου των σχεδίων και να υποβάλουν παρατηρήσεις και προτάσεις βελτίωσής τους, οι οποίες δεν δεσμεύουν την επισπεύδουσα υπηρεσία.</w:t>
      </w:r>
    </w:p>
    <w:p>
      <w:pPr>
        <w:numPr>
          <w:ilvl w:val="0"/>
          <w:numId w:val="80"/>
        </w:numPr>
      </w:pPr>
      <w:r>
        <w:rPr>
          <w:sz w:val="22"/>
          <w:szCs w:val="22"/>
        </w:rPr>
        <w:t xml:space="preserve">Τα σχέδια της παρ. 1 έχουν χρονική ισχύ οκτώ (8) ετών και δύνανται να τροποποιούνται τηρουμένης της διαδικασίας του παρόντος άρθρου.</w:t>
      </w:r>
    </w:p>
    <w:p>
      <w:pPr>
        <w:numPr>
          <w:ilvl w:val="0"/>
          <w:numId w:val="80"/>
        </w:numPr>
      </w:pPr>
      <w:r>
        <w:rPr>
          <w:sz w:val="22"/>
          <w:szCs w:val="22"/>
        </w:rPr>
        <w:t xml:space="preserve">Με απόφαση του Υπουργού Πολιτισμού, η οποία εκδίδεται μετά από γνώμη του Κεντρικού Αρχαιολογικού Συμβουλίου, καθορίζονται το περιεχόμενο των σχεδίων της παρ. 1, η κατά περίπτωση αρμόδια υπηρεσία για την κατάρτιση και έγκρισή τους και κάθε άλλο θέμα σχετικό με την εφαρμογή του παρόντος άρθρου.</w:t>
      </w:r>
    </w:p>
    <w:p>
      <w:pPr>
        <w:numPr>
          <w:ilvl w:val="0"/>
          <w:numId w:val="80"/>
        </w:numPr>
      </w:pPr>
      <w:r>
        <w:rPr>
          <w:sz w:val="22"/>
          <w:szCs w:val="22"/>
        </w:rPr>
        <w:t xml:space="preserve">Στο άρθρο 73 του Κώδικα νομοθεσίας για την προστασία των αρχαιοτήτων και εν γένει της πολιτιστικής κληρονομιάς, περί μεταβατικών και ειδικών διατάξεων, προστίθεται παρ. 2Α ως εξής:</w:t>
      </w:r>
    </w:p>
    <w:p>
      <w:pPr>
        <w:jc w:val="both"/>
      </w:pPr>
      <w:r>
        <w:rPr>
          <w:sz w:val="22"/>
          <w:szCs w:val="22"/>
        </w:rPr>
        <w:t xml:space="preserve">«2Α. Κατά την πρώτη εφαρμογή του άρθρου 9Α:</w:t>
      </w:r>
    </w:p>
    <w:p>
      <w:pPr>
        <w:jc w:val="both"/>
      </w:pPr>
      <w:r>
        <w:rPr>
          <w:sz w:val="22"/>
          <w:szCs w:val="22"/>
        </w:rPr>
        <w:t xml:space="preserve">α) τα σχέδια διαχείρισης των χώρων που έχουν εγγραφεί στον Κατάλογο Παγκόσμιας Κληρονομιάς της UNESCO και για τους οποίους δεν έχει καταρτιστεί σχέδιο διαχείρισης καταρτίζονται και εγκρίνονται εντός προθεσμίας τριών (3) ετών από την έναρξη ισχύος του άρθρου 9Α και</w:t>
      </w:r>
    </w:p>
    <w:p>
      <w:pPr>
        <w:jc w:val="both"/>
      </w:pPr>
      <w:r>
        <w:rPr>
          <w:sz w:val="22"/>
          <w:szCs w:val="22"/>
        </w:rPr>
        <w:t xml:space="preserve">β) με την επιφύλαξη της περ. α), τα σχέδια διαχείρισης των οργανωμένων και επισκέψιμων αρχαιολογικών χώρων, κατά την έννοια του άρθρου 46, καταρτίζονται και εγκρίνονται εντός προθεσμίας οκτώ (8) ετών από την έναρξη ισχύος του άρθρου 9Α.».</w:t>
      </w:r>
    </w:p>
    <w:p>
      <w:pPr>
        <w:jc w:val="both"/>
      </w:pPr>
      <w:r>
        <w:rPr>
          <w:sz w:val="22"/>
          <w:szCs w:val="22"/>
        </w:rPr>
        <w:t xml:space="preserve"> </w:t>
      </w:r>
    </w:p>
    <w:p>
      <w:pPr>
        <w:jc w:val="both"/>
      </w:pPr>
      <w:r>
        <w:rPr>
          <w:sz w:val="22"/>
          <w:szCs w:val="22"/>
          <w:b w:val="1"/>
          <w:bCs w:val="1"/>
        </w:rPr>
        <w:t xml:space="preserve">Άρθρο 108</w:t>
      </w:r>
    </w:p>
    <w:p>
      <w:pPr>
        <w:jc w:val="both"/>
      </w:pPr>
      <w:r>
        <w:rPr>
          <w:sz w:val="22"/>
          <w:szCs w:val="22"/>
          <w:b w:val="1"/>
          <w:bCs w:val="1"/>
        </w:rPr>
        <w:t xml:space="preserve">Ορισμός αρχαιολογικού πάρκου – Προσθήκη περ. η) στο άρθρο 2 του </w:t>
      </w:r>
      <w:r>
        <w:rPr>
          <w:sz w:val="22"/>
          <w:szCs w:val="22"/>
          <w:b w:val="1"/>
          <w:bCs w:val="1"/>
        </w:rPr>
        <w:t xml:space="preserve">Κώδικα νομοθεσίας για την προστασία των αρχαιοτήτων και εν γένει της πολιτιστικής κληρονομιάς</w:t>
      </w:r>
    </w:p>
    <w:p>
      <w:pPr>
        <w:jc w:val="both"/>
      </w:pPr>
      <w:r>
        <w:rPr>
          <w:sz w:val="22"/>
          <w:szCs w:val="22"/>
          <w:b w:val="1"/>
          <w:bCs w:val="1"/>
        </w:rPr>
        <w:t xml:space="preserve"> </w:t>
      </w:r>
    </w:p>
    <w:p>
      <w:pPr>
        <w:jc w:val="both"/>
      </w:pPr>
      <w:r>
        <w:rPr>
          <w:sz w:val="22"/>
          <w:szCs w:val="22"/>
        </w:rPr>
        <w:t xml:space="preserve">Στο άρθρο 2 του Κώδικα νομοθεσίας για την προστασία των αρχαιοτήτων και εν γένει της πολιτιστικής κληρονομιάς (ν. 4858/2021, Α’ 220), περί έννοιας όρων, προστίθεται περ. η) ως εξής:</w:t>
      </w:r>
    </w:p>
    <w:p>
      <w:pPr>
        <w:jc w:val="both"/>
      </w:pPr>
      <w:r>
        <w:rPr>
          <w:sz w:val="22"/>
          <w:szCs w:val="22"/>
        </w:rPr>
        <w:t xml:space="preserve"> </w:t>
      </w:r>
    </w:p>
    <w:p>
      <w:pPr>
        <w:jc w:val="both"/>
      </w:pPr>
      <w:r>
        <w:rPr>
          <w:sz w:val="22"/>
          <w:szCs w:val="22"/>
        </w:rPr>
        <w:t xml:space="preserve">«η) Ως αρχαιολογικό πάρκο νοείται οριοθετημένη εδαφική ενότητα, εντός της οποίας διατηρούνται και προστατεύονται στον τόπο όπου βρίσκονται αρχαιολογικά μνημεία ή μνημειακά σύνολα, οργανωμένα κατά τρόπο που επιτρέπει τη συνδυασμένη προστασία, έρευνα, ανάδειξη και ελεγχόμενη πρόσβαση του κοινού, στο πλαίσιο ενιαίου σχεδίου διαχείρισης. Το αρχαιολογικό πάρκο συγκροτείται ως λειτουργικό και νοηματικό σύνολο, στο οποίο τα αρχαιολογικά στοιχεία εντάσσονται και αλληλεπιδρούν, κατά περίπτωση, με το φυσικό, πολιτιστικό, αστικό ή αγροτικό περιβάλλον, χωρίς να αναιρείται ο πρωτεύων σκοπός της προστασίας της πολιτιστικής κληρονομιάς. Ανάλογα με τα χαρακτηριστικά της περιοχής, το αρχαιολογικό πάρκο δύναται να περιλαμβάνει αρχαιολογικούς χώρους, ιστορικούς τόπους, αστικές ή αγροτικές εκτάσεις και στοιχεία του φυσικού περιβάλλοντος, τα οποία αντιμετωπίζονται ως αναπόσπαστα στοιχεία της ιστορικής εξέλιξης και της σύγχρονης διαχείρισης του χώρου. Το αρχαιολογικό πάρκο κηρύσσεται και οριοθετείται ή αναοριοθετείται με απόφαση του Υπουργού Πολιτισμού, η οποία εκδίδεται ύστερα από γνώμη του Κεντρικού Αρχαιολογικού Συμβουλίου, συνοδεύεται από τοπογραφικό διάγραμμα και δημοσιεύεται μαζί με αυτό στην Εφημερίδα της Κυβερνήσεως. Γύρω από το αρχαιολογικό πάρκο δύναται να καθορίζεται ζώνη προστασίας, σύμφωνα με τα άρθρα 13, 14, 16 και 17Α, κατά περίπτωση.».</w:t>
      </w:r>
    </w:p>
    <w:p>
      <w:pPr>
        <w:jc w:val="both"/>
      </w:pPr>
      <w:r>
        <w:rPr>
          <w:sz w:val="22"/>
          <w:szCs w:val="22"/>
        </w:rPr>
        <w:t xml:space="preserve"> </w:t>
      </w:r>
    </w:p>
    <w:p>
      <w:pPr>
        <w:jc w:val="both"/>
      </w:pPr>
      <w:r>
        <w:rPr>
          <w:sz w:val="22"/>
          <w:szCs w:val="22"/>
          <w:b w:val="1"/>
          <w:bCs w:val="1"/>
        </w:rPr>
        <w:t xml:space="preserve">Άρθρο 109</w:t>
      </w:r>
    </w:p>
    <w:p>
      <w:pPr>
        <w:jc w:val="both"/>
      </w:pPr>
      <w:r>
        <w:rPr>
          <w:sz w:val="22"/>
          <w:szCs w:val="22"/>
          <w:b w:val="1"/>
          <w:bCs w:val="1"/>
        </w:rPr>
        <w:t xml:space="preserve">Σύσταση Εθνικής Φωτοθήκης και Ιστορικού Αρχείου Αρχαιοτήτων και Αναστηλώσεων – Εξουσιοδοτικές διατάξεις – Αντικατάσταση άρθρου 4 Κώδικα νομοθεσίας για την προστασία των αρχαιοτήτων και εν γένει της πολιτιστικής κληρονομιάς</w:t>
      </w:r>
    </w:p>
    <w:p>
      <w:pPr>
        <w:jc w:val="both"/>
      </w:pPr>
      <w:r>
        <w:rPr>
          <w:sz w:val="22"/>
          <w:szCs w:val="22"/>
        </w:rPr>
        <w:t xml:space="preserve">Το άρθρο 4 του Κώδικα νομοθεσίας για την προστασία των αρχαιοτήτων και εν γένει της πολιτιστικής κληρονομιάς (ν. 4858/2021, Α’ 220), περί Εθνικού Αρχείου Μνημείων, αντικαθίσταται ως εξής:</w:t>
      </w:r>
    </w:p>
    <w:p>
      <w:pPr>
        <w:jc w:val="both"/>
      </w:pPr>
      <w:r>
        <w:rPr>
          <w:sz w:val="22"/>
          <w:szCs w:val="22"/>
        </w:rPr>
        <w:t xml:space="preserve"> </w:t>
      </w:r>
    </w:p>
    <w:p>
      <w:pPr>
        <w:jc w:val="both"/>
      </w:pPr>
      <w:r>
        <w:rPr>
          <w:sz w:val="22"/>
          <w:szCs w:val="22"/>
        </w:rPr>
        <w:t xml:space="preserve">«Άρθρο 4</w:t>
      </w:r>
    </w:p>
    <w:p>
      <w:pPr>
        <w:jc w:val="both"/>
      </w:pPr>
      <w:r>
        <w:rPr>
          <w:sz w:val="22"/>
          <w:szCs w:val="22"/>
        </w:rPr>
        <w:t xml:space="preserve">Εθνικό Αρχείο Μνημείων – Εθνική Φωτοθήκη – Ιστορικό Αρχείο Αρχαιοτήτων και Αναστηλώσεων – Εξουσιοδοτικές διατάξεις</w:t>
      </w:r>
    </w:p>
    <w:p>
      <w:pPr>
        <w:numPr>
          <w:ilvl w:val="0"/>
          <w:numId w:val="81"/>
        </w:numPr>
      </w:pPr>
      <w:r>
        <w:rPr>
          <w:sz w:val="22"/>
          <w:szCs w:val="22"/>
        </w:rPr>
        <w:t xml:space="preserve">Τα μνημεία καταγράφονται, τεκμηριώνονται και καταχωρίζονται στο Εθνικό Αρχείο Μνημείων, το οποίο τηρείται στη Διεύθυνση Διαχείρισης Εθνικού Αρχείου Μνημείων της Γενικής Διεύθυνσης Αρχαιοτήτων και Πολιτιστικής Κληρονομιάς του Υπουργείου Πολιτισμού, μέσω εξειδικευμένων Ολοκληρωμένων Πληροφοριακών Συστημάτων για τα κινητά και ακίνητα μνημεία, τους αρχαιολογικούς χώρους και τους ιστορικούς τόπους της Επικράτειας.</w:t>
      </w:r>
    </w:p>
    <w:p>
      <w:pPr>
        <w:numPr>
          <w:ilvl w:val="0"/>
          <w:numId w:val="81"/>
        </w:numPr>
      </w:pPr>
      <w:r>
        <w:rPr>
          <w:sz w:val="22"/>
          <w:szCs w:val="22"/>
        </w:rPr>
        <w:t xml:space="preserve">Στο Υπουργείο Πολιτισμού συστήνεται εθνικό αρχείο φωτογραφίας με την επωνυμία «Εθνική Φωτοθήκη» (εφεξής: «Φωτοθήκη»), το οποίο εντάσσεται στο Εθνικό Αρχείο Μνημείων. Σκοπός της Φωτοθήκης είναι η συγκέντρωση, καταγραφή, έρευνα και τεκμηρίωση φωτογραφικών αρχείων, με στόχο τη διάσωση, την ανάδειξη και την προβολή της πολιτιστικής κληρονομιάς στο ευρύ κοινό. Στη Φωτοθήκη καταχωρίζονται μεμονωμένες φωτογραφίες ή συλλογές φωτογραφιών, σε φυσική ή ψηφιακή μορφή, που ανήκουν σε φορείς του δημόσιου τομέα, κατά την έννοια της περ. α) της παρ. 1 του άρθρου 14 του ν. 4270/2014 (Α’ 143), ή σε ιδιώτες. Οι φωτογραφίες δύνανται να χαρακτηρίζονται ως κινητά μνημεία, σύμφωνα με το άρθρο 20 του παρόντος Κώδικα.</w:t>
      </w:r>
    </w:p>
    <w:p>
      <w:pPr>
        <w:numPr>
          <w:ilvl w:val="0"/>
          <w:numId w:val="81"/>
        </w:numPr>
      </w:pPr>
      <w:r>
        <w:rPr>
          <w:sz w:val="22"/>
          <w:szCs w:val="22"/>
        </w:rPr>
        <w:t xml:space="preserve">Στο Υπουργείο Πολιτισμού συστήνεται αρχείο με την επωνυμία «Ιστορικό Αρχείο Αρχαιοτήτων και Αναστηλώσεων», το οποίο εντάσσεται στο Εθνικό Αρχείο Μνημείων. Σκοπός του αρχείου του πρώτου εδαφίου είναι η διάσωση, φύλαξη, ταξινόμηση, τεκμηρίωση και εν γένει τήρηση των αρχείων των υπηρεσιών αρχαιοτήτων και αναστήλωσης που έχουν παραχθεί τουλάχιστον πενήντα (50) έτη πριν, καθώς και άλλων αρχείων που σχετίζονται με μνημεία, αρχαιολογικούς χώρους και ιστορικούς τόπους της Επικράτειας.</w:t>
      </w:r>
    </w:p>
    <w:p>
      <w:pPr>
        <w:numPr>
          <w:ilvl w:val="0"/>
          <w:numId w:val="81"/>
        </w:numPr>
      </w:pPr>
      <w:r>
        <w:rPr>
          <w:sz w:val="22"/>
          <w:szCs w:val="22"/>
        </w:rPr>
        <w:t xml:space="preserve">Με προεδρικό διάταγμα, που εκδίδεται με πρόταση του Υπουργού Πολιτισμού, ρυθμίζονται οι βασικές αρχές οργάνωσης και λειτουργίας του Εθνικού Αρχείου Μνημείων.</w:t>
      </w:r>
    </w:p>
    <w:p>
      <w:pPr>
        <w:numPr>
          <w:ilvl w:val="0"/>
          <w:numId w:val="81"/>
        </w:numPr>
      </w:pPr>
      <w:r>
        <w:rPr>
          <w:sz w:val="22"/>
          <w:szCs w:val="22"/>
        </w:rPr>
        <w:t xml:space="preserve">Με απόφαση του Υπουργού Πολιτισμού εγκρίνεται ο κανονισμός οργάνωσης, λειτουργίας, διαχείρισης και πρόσβασης στα πληροφοριακά συστήματα του Εθνικού Αρχείου Μνημείων και καθορίζονται η οργάνωση και η λειτουργία των αρχείων των παρ. 2 και 3, καθώς και κάθε άλλο θέμα σχετικό με την εφαρμογή του παρόντος άρθρου.».</w:t>
      </w:r>
    </w:p>
    <w:p>
      <w:pPr>
        <w:jc w:val="both"/>
      </w:pPr>
      <w:r>
        <w:rPr>
          <w:sz w:val="22"/>
          <w:szCs w:val="22"/>
        </w:rPr>
        <w:t xml:space="preserve"> </w:t>
      </w:r>
    </w:p>
    <w:p>
      <w:pPr>
        <w:jc w:val="both"/>
      </w:pPr>
      <w:r>
        <w:rPr>
          <w:sz w:val="22"/>
          <w:szCs w:val="22"/>
          <w:b w:val="1"/>
          <w:bCs w:val="1"/>
        </w:rPr>
        <w:t xml:space="preserve">Άρθρο 110</w:t>
      </w:r>
    </w:p>
    <w:p>
      <w:pPr>
        <w:jc w:val="both"/>
      </w:pPr>
      <w:r>
        <w:rPr>
          <w:sz w:val="22"/>
          <w:szCs w:val="22"/>
          <w:b w:val="1"/>
          <w:bCs w:val="1"/>
        </w:rPr>
        <w:t xml:space="preserve">Σύσταση Τμήματος Διαχείρισης της Εθνικής Φωτοθήκης στη Διεύθυνση Διαχείρισης Εθνικού Αρχείου Μνημείων της Γενικής Διεύθυνσης Αρχαιοτήτων και Πολιτιστικής Κληρονομιάς του Υπουργείου Πολιτισμού</w:t>
      </w:r>
    </w:p>
    <w:p>
      <w:pPr>
        <w:jc w:val="both"/>
      </w:pPr>
      <w:r>
        <w:rPr>
          <w:sz w:val="22"/>
          <w:szCs w:val="22"/>
          <w:b w:val="1"/>
          <w:bCs w:val="1"/>
        </w:rPr>
        <w:t xml:space="preserve"> </w:t>
      </w:r>
    </w:p>
    <w:p>
      <w:pPr>
        <w:numPr>
          <w:ilvl w:val="0"/>
          <w:numId w:val="82"/>
        </w:numPr>
      </w:pPr>
      <w:r>
        <w:rPr>
          <w:sz w:val="22"/>
          <w:szCs w:val="22"/>
        </w:rPr>
        <w:t xml:space="preserve">Στο Υπουργείο Πολιτισμού συστήνεται Τμήμα Διαχείρισης της Εθνικής Φωτοθήκης, το οποίο υπάγεται στη Διεύθυνση Διαχείρισης Εθνικού Αρχείου Μνημείων της Γενικής Διεύθυνσης Αρχαιοτήτων και Πολιτιστικής Κληρονομιάς του άρθρου 20 του π.δ. 4/2018 (Α’ 7). Το Τμήμα Διαχείρισης της Εθνικής Φωτοθήκης είναι αρμόδιο για τη λειτουργία του αρχείου της παρ. 3 του άρθρου 4 του Κώδικα νομοθεσίας για την προστασία των αρχαιοτήτων και εν γένει της πολιτιστικής κληρονομιάς (ν. 4858/2021, Α’ 220) και, ειδικότερα, για τη συλλογή, ταξινόμηση, καταγραφή, τεκμηρίωση, ψηφιοποίηση, αρχειοθέτηση, συντήρηση, ανάδειξη και προβολή των φωτογραφιών που καταχωρίζονται στην Εθνική Φωτοθήκη, καθώς και για τη διασφάλιση της πρόσβασης κάθε ενδιαφερομένου σε αυτές.</w:t>
      </w:r>
    </w:p>
    <w:p>
      <w:pPr>
        <w:numPr>
          <w:ilvl w:val="0"/>
          <w:numId w:val="82"/>
        </w:numPr>
      </w:pPr>
      <w:r>
        <w:rPr>
          <w:sz w:val="22"/>
          <w:szCs w:val="22"/>
        </w:rPr>
        <w:t xml:space="preserve">Στο Υπουργείο Πολιτισμού συστήνεται πενταμελής επιτροπή με αρμοδιότητα την αξιολόγηση και την ένταξη φωτογραφιών στην Εθνική Φωτοθήκη, καθώς και την εν γένει υποστήριξη της λειτουργίας της. Η Επιτροπή συγκροτείται με απόφαση του Υπουργού Πολιτισμού και αποτελείται από τα εξής μέλη:</w:t>
      </w:r>
    </w:p>
    <w:p>
      <w:pPr>
        <w:jc w:val="both"/>
      </w:pPr>
      <w:r>
        <w:rPr>
          <w:sz w:val="22"/>
          <w:szCs w:val="22"/>
        </w:rPr>
        <w:t xml:space="preserve">α) τον Προϊστάμενο της Διεύθυνσης Διαχείρισης Εθνικού Αρχείου Μνημείων του Υπουργείου Πολιτισμού, ως Πρόεδρο,</w:t>
      </w:r>
    </w:p>
    <w:p>
      <w:pPr>
        <w:jc w:val="both"/>
      </w:pPr>
      <w:r>
        <w:rPr>
          <w:sz w:val="22"/>
          <w:szCs w:val="22"/>
        </w:rPr>
        <w:t xml:space="preserve">β) τον Προϊστάμενο του Τμήματος Διαχείρισης της Εθνικής Φωτοθήκης της Διεύθυνσης Διαχείρισης Εθνικού Αρχείου Μνημείων,</w:t>
      </w:r>
    </w:p>
    <w:p>
      <w:pPr>
        <w:jc w:val="both"/>
      </w:pPr>
      <w:r>
        <w:rPr>
          <w:sz w:val="22"/>
          <w:szCs w:val="22"/>
        </w:rPr>
        <w:t xml:space="preserve">γ) έναν (1) φωτογράφο ειδικευμένο στην αρχαιολογική φωτογραφία και τεκμηρίωση,</w:t>
      </w:r>
    </w:p>
    <w:p>
      <w:pPr>
        <w:jc w:val="both"/>
      </w:pPr>
      <w:r>
        <w:rPr>
          <w:sz w:val="22"/>
          <w:szCs w:val="22"/>
        </w:rPr>
        <w:t xml:space="preserve">δ) έναν (1) φωτογράφο ειδικευμένο στην ιστορία της φωτογραφίας και</w:t>
      </w:r>
    </w:p>
    <w:p>
      <w:pPr>
        <w:jc w:val="both"/>
      </w:pPr>
      <w:r>
        <w:rPr>
          <w:sz w:val="22"/>
          <w:szCs w:val="22"/>
        </w:rPr>
        <w:t xml:space="preserve">ε) έναν (1) φωτογράφο ειδικευμένο στη διαχείριση φωτογραφικών συλλογών και στην επιμέλεια εκθέσεων.</w:t>
      </w:r>
    </w:p>
    <w:p>
      <w:pPr>
        <w:jc w:val="both"/>
      </w:pPr>
      <w:r>
        <w:rPr>
          <w:sz w:val="22"/>
          <w:szCs w:val="22"/>
        </w:rPr>
        <w:t xml:space="preserve">Ως Γραμματέας της Επιτροπής, με τον αναπληρωτή του, ορίζεται υπάλληλος κατηγορίας ΠΕ του Υπουργείου Πολιτισμού. Η Επιτροπή δύναται να απευθύνεται σε εξειδικευμένους εμπειρογνώμονες.</w:t>
      </w:r>
    </w:p>
    <w:p>
      <w:pPr>
        <w:jc w:val="both"/>
      </w:pPr>
      <w:r>
        <w:rPr>
          <w:sz w:val="22"/>
          <w:szCs w:val="22"/>
          <w:b w:val="1"/>
          <w:bCs w:val="1"/>
        </w:rPr>
        <w:t xml:space="preserve"> </w:t>
      </w:r>
    </w:p>
    <w:p>
      <w:pPr>
        <w:jc w:val="both"/>
      </w:pPr>
      <w:r>
        <w:rPr>
          <w:sz w:val="22"/>
          <w:szCs w:val="22"/>
          <w:b w:val="1"/>
          <w:bCs w:val="1"/>
        </w:rPr>
        <w:t xml:space="preserve">ΚΕΦΑΛΑΙΟ Γ΄</w:t>
      </w:r>
    </w:p>
    <w:p>
      <w:pPr>
        <w:jc w:val="both"/>
      </w:pPr>
      <w:r>
        <w:rPr>
          <w:sz w:val="22"/>
          <w:szCs w:val="22"/>
          <w:b w:val="1"/>
          <w:bCs w:val="1"/>
        </w:rPr>
        <w:t xml:space="preserve">ΡΥΘΜΙΣΕΙΣ ΓΙΑ ΤΗΝ ΟΡΓΑΝΩΣΗ, ΤΗ ΛΕΙΤΟΥΡΓΙΑ ΚΑΙ ΤΟ ΠΡΟΣΩΠΙΚΟ ΤΟΥ ΝΟΜΙΚΟΥ ΠΡΟΣΩΠΟΥ ΙΔΙΩΤΙΚΟΥ ΔΙΚΑΙΟΥ ΜΕ ΤΗΝ ΕΠΩΝΥΜΙΑ «ΟΡΓΑΝΙΣΜΟΣ ΜΕΓΑΡΟΥ ΜΟΥΣΙΚΗΣ ΘΕΣΣΑΛΟΝΙΚΗΣ» ΚΑΙ ΤΟΥ ΝΟΜΙΚΟΥ ΠΡΟΣΩΠΟΥ ΔΗΜΟΣΙΟΥ ΔΙΚΑΙΟΥ ΜΕ ΤΗΝ ΕΠΩΝΥΜΙΑ «ΕΘΝΙΚΗ ΠΙΝΑΚΟΘΗΚΗ ΚΑΙ ΜΟΥΣΕΙΟ ΑΛΕΞΑΝΔΡΟΥ ΣΟΥΤΣΟΥ»</w:t>
      </w:r>
    </w:p>
    <w:p>
      <w:pPr>
        <w:jc w:val="both"/>
      </w:pPr>
      <w:r>
        <w:rPr>
          <w:sz w:val="22"/>
          <w:szCs w:val="22"/>
          <w:b w:val="1"/>
          <w:bCs w:val="1"/>
        </w:rPr>
        <w:t xml:space="preserve"> </w:t>
      </w:r>
    </w:p>
    <w:p>
      <w:pPr>
        <w:jc w:val="both"/>
      </w:pPr>
      <w:r>
        <w:rPr>
          <w:sz w:val="22"/>
          <w:szCs w:val="22"/>
          <w:b w:val="1"/>
          <w:bCs w:val="1"/>
        </w:rPr>
        <w:t xml:space="preserve">Άρθρο 111</w:t>
      </w:r>
    </w:p>
    <w:p>
      <w:pPr>
        <w:jc w:val="both"/>
      </w:pPr>
      <w:r>
        <w:rPr>
          <w:sz w:val="22"/>
          <w:szCs w:val="22"/>
          <w:b w:val="1"/>
          <w:bCs w:val="1"/>
        </w:rPr>
        <w:t xml:space="preserve">Σκοπός του νομικού προσώπου ιδιωτικού δικαίου με την επωνυμία «Οργανισμός Μεγάρου Μουσικής Θεσσαλονίκης» – Τροποποίηση εσωτερικού άρθρου 2.Α άρθρου 76 ν. 2121/1993</w:t>
      </w:r>
    </w:p>
    <w:p>
      <w:pPr>
        <w:jc w:val="both"/>
      </w:pPr>
      <w:r>
        <w:rPr>
          <w:sz w:val="22"/>
          <w:szCs w:val="22"/>
        </w:rPr>
        <w:t xml:space="preserve">Στο εσωτερικό άρθρο 2.Α της από 1ης Φεβρουαρίου 1993 Σύμβασης σύστασης κοινωφελούς οργανισμού μεταξύ του Ελληνικού Δημοσίου και των εδρευόντων αντιστοίχως στη Θεσσαλονίκη και στην Αθήνα σωματείων με τις επωνυμίες «ΣΥΛΛΟΓΟΣ ΟΙ ΦΙΛΟΙ ΤΗΣ ΜΟΥΣΙΚΗΣ ΘΕΣΣΑΛΟΝΙΚΗΣ» και «ΣΥΛΛΟΓΟΣ ΟΙ ΦΙΛΟΙ ΤΗΣ ΜΟΥΣΙΚΗΣ», η οποία κυρώθηκε με το άρθρο 76 του ν. 2121/1993 (Α’ 25), περί κύρωσης Σύμβασης, προστίθεται δεύτερο εδάφιο και το εσωτερικό άρθρο 2.Α διαμορφώνεται ως εξής:</w:t>
      </w:r>
    </w:p>
    <w:p>
      <w:pPr>
        <w:jc w:val="both"/>
      </w:pPr>
      <w:r>
        <w:rPr>
          <w:sz w:val="22"/>
          <w:szCs w:val="22"/>
        </w:rPr>
        <w:t xml:space="preserve">«Άρθρο 2.Α :</w:t>
      </w:r>
    </w:p>
    <w:p>
      <w:pPr>
        <w:jc w:val="both"/>
      </w:pPr>
      <w:r>
        <w:rPr>
          <w:sz w:val="22"/>
          <w:szCs w:val="22"/>
        </w:rPr>
        <w:t xml:space="preserve"> </w:t>
      </w:r>
    </w:p>
    <w:p>
      <w:pPr>
        <w:jc w:val="both"/>
      </w:pPr>
      <w:r>
        <w:rPr>
          <w:sz w:val="22"/>
          <w:szCs w:val="22"/>
        </w:rPr>
        <w:t xml:space="preserve">Σκοπός του Οργανισμού είναι η κατασκευή και η κατάλληλος λειτουργία και συντήρηση του επί του Β.Κ. ακινήτου της Κ.Υ.Θ. (ΚΕΔ) Θεσσαλονίκης ανεγερθησομένου Μεγάρου της Μουσικής, ως και η διάθεση των εις αυτό αιθουσών και λοιπών χώρων προς εξυπηρέτηση σοβαρών μουσικών και καλλιτεχνικών εκδηλώσεων, αποβλεπουσών πρωταρχικώς εις άνοδον του μουσικού μορφωτικού επιπέδου της Βορείου Ελλάδος. Ο Οργανισμός δύναται να αναλαμβάνει την καλλιτεχνική παραγωγή και διοργάνωση εκδηλώσεων συναφών προς τον σκοπό του, καθώς και να συμμετέχει σε συμπαραγωγές με άλλους πολιτιστικούς φορείς, που συμβάλλουν στην πολιτιστική ανάπτυξη.</w:t>
      </w:r>
    </w:p>
    <w:p>
      <w:pPr>
        <w:jc w:val="both"/>
      </w:pPr>
      <w:r>
        <w:rPr>
          <w:sz w:val="22"/>
          <w:szCs w:val="22"/>
        </w:rPr>
        <w:t xml:space="preserve">Προς τούτο, οι αίθουσες του Μεγάρου θα χρησιμοποιούνται:</w:t>
      </w:r>
    </w:p>
    <w:p>
      <w:pPr>
        <w:jc w:val="both"/>
      </w:pPr>
      <w:r>
        <w:rPr>
          <w:sz w:val="22"/>
          <w:szCs w:val="22"/>
        </w:rPr>
        <w:t xml:space="preserve">α) Δια μουσικές και καλλιτεχνικές εκδηλώσεις, εις τις οποίες περιλαμβάνονται συμφωνικές συναυλίες και ρεσιτάλ, παραστάσεις μουσικού θεάτρου και μελοδράματος (όπερας), παραστάσεις χορευτικών συγκροτημάτων (μπαλέτου κλπ.) και λοιπές εκδηλώσεις</w:t>
      </w:r>
    </w:p>
    <w:p>
      <w:pPr>
        <w:jc w:val="both"/>
      </w:pPr>
      <w:r>
        <w:rPr>
          <w:sz w:val="22"/>
          <w:szCs w:val="22"/>
        </w:rPr>
        <w:t xml:space="preserve">β) Δια την διεξαγωγή συνεδρίων.</w:t>
      </w:r>
    </w:p>
    <w:p>
      <w:pPr>
        <w:jc w:val="both"/>
      </w:pPr>
      <w:r>
        <w:rPr>
          <w:sz w:val="22"/>
          <w:szCs w:val="22"/>
        </w:rPr>
        <w:t xml:space="preserve">Η διάθεση των αιθουσών δύναται να γίνεται είτε προς ελληνικά συγκροτήματα (κρατικές ή ιδιωτικές ορχήστρες, Λυρική Σκηνή κλπ.), είτε προς ξένα τοιαύτα εγνωσμένου κύρους. Η διάθεση δύναται να γίνεται και προς μεμονωμένους καλλιτέχνες ημεδαπούς ή ξένους, επίσης εγνωσμένου κύρους.</w:t>
      </w:r>
    </w:p>
    <w:p>
      <w:pPr>
        <w:jc w:val="both"/>
      </w:pPr>
      <w:r>
        <w:rPr>
          <w:sz w:val="22"/>
          <w:szCs w:val="22"/>
        </w:rPr>
        <w:t xml:space="preserve">Επιτρέπεται η παραχώρηση, των φουαγιέ (ουχί όμως των αιθουσών του μεγάρου) δια πρόσκαιρες καλλιτεχνικές εκθέσεις και εφόσον η τοιαύτη διάθεσις δεν παρακωλύει την λειτουργία της κυρίας αιθούσης του Μεγάρου.</w:t>
      </w:r>
    </w:p>
    <w:p>
      <w:pPr>
        <w:jc w:val="both"/>
      </w:pPr>
      <w:r>
        <w:rPr>
          <w:sz w:val="22"/>
          <w:szCs w:val="22"/>
        </w:rPr>
        <w:t xml:space="preserve">Αποκλείεται η χρησιμοποίηση του κτιρίου ως μονίμου ή ημιμονίμου στέγης θεάτρου ή θιάσου ή άλλου συγκροτήματος ή παρεμφερούς σκοπού, ως και η οιαδήποτε χρησιμοποίηση δι’ εκδηλώσεις, οι οποίες θα αλλοιώνουν τον χαρακτήρα αυτού ως προέχοντος χώρου συναυλιών και παρεμφερών μουσικών εκδηλώσεων ή θα θέτουν αυτόν εις κίνδυνο ή φθορά.</w:t>
      </w:r>
    </w:p>
    <w:p>
      <w:pPr>
        <w:jc w:val="both"/>
      </w:pPr>
      <w:r>
        <w:rPr>
          <w:sz w:val="22"/>
          <w:szCs w:val="22"/>
        </w:rPr>
        <w:t xml:space="preserve">Η κατά τ’ ανωτέρω διάθεση των χώρων αυτού θα γίνεται, κατά κανόνα, επ’ ανταλλάγματι, του Διοικητικού Συμβουλίου ορίζοντος εκάστοτε τους όρους της τοιαύτης διαθέσεως.</w:t>
      </w:r>
    </w:p>
    <w:p>
      <w:pPr>
        <w:jc w:val="both"/>
      </w:pPr>
      <w:r>
        <w:rPr>
          <w:sz w:val="22"/>
          <w:szCs w:val="22"/>
        </w:rPr>
        <w:t xml:space="preserve">γ) Η συνεργασία του Οργανισμού με άλλους φορείς με σκοπό την ανάπτυξη κοινών καλλιτεχνικών και εκπαιδευτικών προγραμμάτων.».</w:t>
      </w:r>
    </w:p>
    <w:p>
      <w:pPr>
        <w:jc w:val="both"/>
      </w:pPr>
      <w:r>
        <w:rPr>
          <w:sz w:val="22"/>
          <w:szCs w:val="22"/>
        </w:rPr>
        <w:t xml:space="preserve"> </w:t>
      </w:r>
    </w:p>
    <w:p>
      <w:pPr>
        <w:jc w:val="both"/>
      </w:pPr>
      <w:r>
        <w:rPr>
          <w:sz w:val="22"/>
          <w:szCs w:val="22"/>
          <w:b w:val="1"/>
          <w:bCs w:val="1"/>
        </w:rPr>
        <w:t xml:space="preserve">Άρθρο 112</w:t>
      </w:r>
    </w:p>
    <w:p>
      <w:pPr>
        <w:jc w:val="both"/>
      </w:pPr>
      <w:r>
        <w:rPr>
          <w:sz w:val="22"/>
          <w:szCs w:val="22"/>
          <w:b w:val="1"/>
          <w:bCs w:val="1"/>
        </w:rPr>
        <w:t xml:space="preserve">Ρύθμιση για το προσωπικό του νομικού προσώπου ιδιωτικού δικαίου με την επωνυμία «Οργανισμός Μεγάρου Μουσικής Θεσσαλονίκης»</w:t>
      </w:r>
    </w:p>
    <w:p>
      <w:pPr>
        <w:jc w:val="both"/>
      </w:pPr>
      <w:r>
        <w:rPr>
          <w:sz w:val="22"/>
          <w:szCs w:val="22"/>
          <w:b w:val="1"/>
          <w:bCs w:val="1"/>
        </w:rPr>
        <w:t xml:space="preserve"> </w:t>
      </w:r>
    </w:p>
    <w:p>
      <w:pPr>
        <w:jc w:val="both"/>
      </w:pPr>
      <w:r>
        <w:rPr>
          <w:sz w:val="22"/>
          <w:szCs w:val="22"/>
        </w:rPr>
        <w:t xml:space="preserve">Το καλλιτεχνικό, τεχνικό, εργατοτεχνικό ή βοηθητικό προσωπικό, εξαιρουμένου του διοικητικού προσωπικού, που είναι αναγκαίο για την προετοιμασία και την παρουσίαση των καλλιτεχνικών παραγωγών, έργων ή συναυλιών στο πλαίσιο του εγκεκριμένου από το Διοικητικό Συμβούλιο καλλιτεχνικού προγράμματος του νομικού προσώπου ιδιωτικού δικαίου με την επωνυμία «Οργανισμός Μεγάρου Μουσικής Θεσσαλονίκης» απασχολείται με σύμβαση έργου ή σύμβαση εργασίας ιδιωτικού δικαίου ορισμένου χρόνου. Οι συμβάσεις του πρώτου εδαφίου συνάπτονται με απόφαση του Διοικητικού Συμβουλίου, ύστερα από πρόταση του Καλλιτεχνικού Διευθυντή, αποκλειστικά για την εύρυθμη εκτέλεση του εγκεκριμένου καλλιτεχνικού προγράμματος.</w:t>
      </w:r>
    </w:p>
    <w:p>
      <w:pPr>
        <w:jc w:val="both"/>
      </w:pPr>
      <w:r>
        <w:rPr>
          <w:sz w:val="22"/>
          <w:szCs w:val="22"/>
          <w:b w:val="1"/>
          <w:bCs w:val="1"/>
        </w:rPr>
        <w:t xml:space="preserve"> </w:t>
      </w:r>
    </w:p>
    <w:p>
      <w:pPr>
        <w:jc w:val="both"/>
      </w:pPr>
      <w:r>
        <w:rPr>
          <w:sz w:val="22"/>
          <w:szCs w:val="22"/>
          <w:b w:val="1"/>
          <w:bCs w:val="1"/>
        </w:rPr>
        <w:t xml:space="preserve">Άρθρο 113</w:t>
      </w:r>
    </w:p>
    <w:p>
      <w:pPr>
        <w:jc w:val="both"/>
      </w:pPr>
      <w:r>
        <w:rPr>
          <w:sz w:val="22"/>
          <w:szCs w:val="22"/>
          <w:b w:val="1"/>
          <w:bCs w:val="1"/>
        </w:rPr>
        <w:t xml:space="preserve">Οργανικές θέσεις μόνιμου προσωπικού του νομικού προσώπου δημοσίου δικαίου με την επωνυμία «Εθνική Πινακοθήκη και Μουσείο Αλεξάνδρου Σούτσου» – Τροποποίηση άρθρου 19 ν. 5179/2025</w:t>
      </w:r>
    </w:p>
    <w:p>
      <w:pPr>
        <w:jc w:val="both"/>
      </w:pPr>
      <w:r>
        <w:rPr>
          <w:sz w:val="22"/>
          <w:szCs w:val="22"/>
        </w:rPr>
        <w:t xml:space="preserve">Στο άρθρο 19 του ν. 5179/2025 (Α’ 26), περί των οργανικών θέσεων μόνιμου προσωπικού του νομικού προσώπου δημοσίου δικαίου με την επωνυμία «Εθνική Πινακοθήκη και Μουσείο Αλεξάνδρου Σούτσου», επέρχονται οι ακόλουθες τροποποιήσεις:</w:t>
      </w:r>
    </w:p>
    <w:p>
      <w:pPr>
        <w:jc w:val="both"/>
      </w:pPr>
      <w:r>
        <w:rPr>
          <w:sz w:val="22"/>
          <w:szCs w:val="22"/>
        </w:rPr>
        <w:t xml:space="preserve">α) στον πίνακα 1 με τίτλο «ΚΑΤΗΓΟΡΙΑ Π.Ε.», στις στήλες ΚΛΑΔΟΣ και ΕΙΔΙΚΟΤΗΤΑ της γραμμής 6, οι λέξεις «ΠΕ ΕΝΗΜΕΡΩΣΗΣ ΕΠΙΚΟΙΝΩΝΙΑΣ ΚΑΙ ΔΗΜΟΣΙΩΝ ΣΧΕΣΕΩΝ» αντικαθίστανται από τις λέξεις «ΠΕ ΕΠΙΚΟΙΝΩΝΙΑΣ ΕΝΗΜΕΡΩΣΗΣ ΚΑΙ ΔΗΜΟΣΙΩΝ ΣΧΕΣΕΩΝ»,</w:t>
      </w:r>
    </w:p>
    <w:p>
      <w:pPr>
        <w:jc w:val="both"/>
      </w:pPr>
      <w:r>
        <w:rPr>
          <w:sz w:val="22"/>
          <w:szCs w:val="22"/>
        </w:rPr>
        <w:t xml:space="preserve">β) στον πίνακα 3 με τίτλο «ΚΑΤΗΓΟΡΙΑ Δ.Ε.», στη στήλη ΑΡΙΘΜΟΣ ΘΕΣΕΩΝ της γραμμής 4, ο αριθμός «33» αντικαθίσταται από τον αριθμό «32»,</w:t>
      </w:r>
    </w:p>
    <w:p>
      <w:pPr>
        <w:jc w:val="both"/>
      </w:pPr>
      <w:r>
        <w:rPr>
          <w:sz w:val="22"/>
          <w:szCs w:val="22"/>
        </w:rPr>
        <w:t xml:space="preserve">γ) στον πίνακα 4 με τίτλο «ΚΑΤΗΓΟΡΙΑ Υ.Ε.», στη στήλη ΑΡΙΘΜΟΣ ΘΕΣΕΩΝ της γραμμής 1, ο αριθμός «3» αντικαθίσταται από τον αριθμό «4», και το άρθρο διαμορφώνεται ως εξής:</w:t>
      </w:r>
    </w:p>
    <w:p>
      <w:pPr>
        <w:jc w:val="both"/>
      </w:pPr>
      <w:r>
        <w:rPr>
          <w:sz w:val="22"/>
          <w:szCs w:val="22"/>
        </w:rPr>
        <w:t xml:space="preserve"> </w:t>
      </w:r>
    </w:p>
    <w:p>
      <w:pPr>
        <w:jc w:val="both"/>
      </w:pPr>
      <w:r>
        <w:rPr>
          <w:sz w:val="22"/>
          <w:szCs w:val="22"/>
        </w:rPr>
        <w:t xml:space="preserve">«Άρθρο 19</w:t>
      </w:r>
    </w:p>
    <w:p>
      <w:pPr>
        <w:jc w:val="both"/>
      </w:pPr>
      <w:r>
        <w:rPr>
          <w:sz w:val="22"/>
          <w:szCs w:val="22"/>
        </w:rPr>
        <w:t xml:space="preserve">Οργανικές θέσεις μονίμου προσωπικού</w:t>
      </w:r>
    </w:p>
    <w:p>
      <w:pPr>
        <w:jc w:val="both"/>
      </w:pPr>
      <w:r>
        <w:rPr>
          <w:sz w:val="22"/>
          <w:szCs w:val="22"/>
        </w:rPr>
        <w:t xml:space="preserve"> </w:t>
      </w:r>
    </w:p>
    <w:p>
      <w:pPr>
        <w:jc w:val="both"/>
      </w:pPr>
      <w:r>
        <w:rPr>
          <w:sz w:val="22"/>
          <w:szCs w:val="22"/>
        </w:rPr>
        <w:t xml:space="preserve">Στην Ε.Π.Μ.Α.Σ. συστήνονται εκατόν είκοσι (120) οργανικές θέσεις μόνιμου προσωπικού, οι οποίες κατανέμονται κατά κατηγορία, κλάδο και ειδικότητα ως εξής:</w:t>
      </w:r>
    </w:p>
    <w:p>
      <w:pPr>
        <w:jc w:val="both"/>
      </w:pPr>
      <w:r>
        <w:rPr>
          <w:sz w:val="22"/>
          <w:szCs w:val="22"/>
        </w:rPr>
        <w:t xml:space="preserve"> </w:t>
      </w:r>
    </w:p>
    <w:p>
      <w:pPr>
        <w:numPr>
          <w:ilvl w:val="0"/>
          <w:numId w:val="83"/>
        </w:numPr>
      </w:pPr>
      <w:r>
        <w:rPr>
          <w:sz w:val="22"/>
          <w:szCs w:val="22"/>
        </w:rPr>
        <w:t xml:space="preserve">ΚΑΤΗΓΟΡΙΑ Π.Ε.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r>
              <w:rPr>
                <w:sz w:val="22"/>
                <w:szCs w:val="22"/>
                <w:b w:val="1"/>
                <w:bCs w:val="1"/>
              </w:rPr>
              <w:t xml:space="preserve">ΑΡΙΘΜΟΣ</w:t>
            </w:r>
            <w:r>
              <w:rPr>
                <w:sz w:val="22"/>
                <w:szCs w:val="22"/>
              </w:rPr>
              <w:t xml:space="preserve"> </w:t>
            </w:r>
            <w:r>
              <w:rPr>
                <w:sz w:val="22"/>
                <w:szCs w:val="22"/>
                <w:b w:val="1"/>
                <w:bCs w:val="1"/>
              </w:rPr>
              <w:t xml:space="preserve">ΘΕΣΕΩΝ</w:t>
            </w:r>
          </w:p>
        </w:tc>
      </w:tr>
      <w:tr>
        <w:trPr/>
        <w:tc>
          <w:tcPr>
            <w:tcW w:w="855" w:type="dxa"/>
            <w:noWrap/>
          </w:tcPr>
          <w:p>
            <w:pPr/>
            <w:r>
              <w:rPr>
                <w:sz w:val="22"/>
                <w:szCs w:val="22"/>
              </w:rPr>
              <w:t xml:space="preserve">1</w:t>
            </w:r>
          </w:p>
        </w:tc>
        <w:tc>
          <w:tcPr>
            <w:tcW w:w="2805" w:type="dxa"/>
            <w:noWrap/>
          </w:tcPr>
          <w:p>
            <w:pPr/>
            <w:r>
              <w:rPr>
                <w:sz w:val="22"/>
                <w:szCs w:val="22"/>
              </w:rPr>
              <w:t xml:space="preserve">ΠΕ ΔΙΟΙΚΗΤΙΚΟΥ-ΟΙΚΟΝΟΜΙΚΟΥ</w:t>
            </w:r>
          </w:p>
        </w:tc>
        <w:tc>
          <w:tcPr>
            <w:tcW w:w="3795" w:type="dxa"/>
            <w:noWrap/>
          </w:tcPr>
          <w:p>
            <w:pPr/>
            <w:r>
              <w:rPr>
                <w:sz w:val="22"/>
                <w:szCs w:val="22"/>
              </w:rPr>
              <w:t xml:space="preserve">ΠΕ ΔΙΟΙΚΗΤΙΚΟΥ-ΟΙΚΟΝΟΜΙΚΟΥ</w:t>
            </w:r>
          </w:p>
        </w:tc>
        <w:tc>
          <w:tcPr>
            <w:tcW w:w="2355" w:type="dxa"/>
            <w:noWrap/>
          </w:tcPr>
          <w:p>
            <w:pPr/>
            <w:r>
              <w:rPr>
                <w:sz w:val="22"/>
                <w:szCs w:val="22"/>
              </w:rPr>
              <w:t xml:space="preserve">9</w:t>
            </w:r>
          </w:p>
        </w:tc>
      </w:tr>
      <w:tr>
        <w:trPr/>
        <w:tc>
          <w:tcPr>
            <w:tcW w:w="855" w:type="dxa"/>
            <w:noWrap/>
          </w:tcPr>
          <w:p>
            <w:pPr/>
            <w:r>
              <w:rPr>
                <w:sz w:val="22"/>
                <w:szCs w:val="22"/>
              </w:rPr>
              <w:t xml:space="preserve">2</w:t>
            </w:r>
          </w:p>
        </w:tc>
        <w:tc>
          <w:tcPr>
            <w:tcW w:w="2805" w:type="dxa"/>
            <w:noWrap/>
          </w:tcPr>
          <w:p>
            <w:pPr/>
            <w:r>
              <w:rPr>
                <w:sz w:val="22"/>
                <w:szCs w:val="22"/>
              </w:rPr>
              <w:t xml:space="preserve">ΠΕ ΙΣΤΟΡΙΚΩΝ</w:t>
            </w:r>
          </w:p>
        </w:tc>
        <w:tc>
          <w:tcPr>
            <w:tcW w:w="3795" w:type="dxa"/>
            <w:noWrap/>
          </w:tcPr>
          <w:p>
            <w:pPr/>
            <w:r>
              <w:rPr>
                <w:sz w:val="22"/>
                <w:szCs w:val="22"/>
              </w:rPr>
              <w:t xml:space="preserve">ΠΕ ΙΣΤΟΡΙΚΩΝ ΤΕΧΝΗΣ</w:t>
            </w:r>
          </w:p>
        </w:tc>
        <w:tc>
          <w:tcPr>
            <w:tcW w:w="2355" w:type="dxa"/>
            <w:noWrap/>
          </w:tcPr>
          <w:p>
            <w:pPr/>
            <w:r>
              <w:rPr>
                <w:sz w:val="22"/>
                <w:szCs w:val="22"/>
              </w:rPr>
              <w:t xml:space="preserve">12</w:t>
            </w:r>
          </w:p>
        </w:tc>
      </w:tr>
      <w:tr>
        <w:trPr/>
        <w:tc>
          <w:tcPr>
            <w:tcW w:w="855" w:type="dxa"/>
            <w:noWrap/>
          </w:tcPr>
          <w:p>
            <w:pPr/>
            <w:r>
              <w:rPr>
                <w:sz w:val="22"/>
                <w:szCs w:val="22"/>
              </w:rPr>
              <w:t xml:space="preserve">3</w:t>
            </w:r>
          </w:p>
        </w:tc>
        <w:tc>
          <w:tcPr>
            <w:tcW w:w="2805" w:type="dxa"/>
            <w:noWrap/>
          </w:tcPr>
          <w:p>
            <w:pPr/>
            <w:r>
              <w:rPr>
                <w:sz w:val="22"/>
                <w:szCs w:val="22"/>
              </w:rPr>
              <w:t xml:space="preserve">ΠΕ ΜΗΧΑΝΙΚΩΝ</w:t>
            </w:r>
          </w:p>
        </w:tc>
        <w:tc>
          <w:tcPr>
            <w:tcW w:w="3795" w:type="dxa"/>
            <w:noWrap/>
          </w:tcPr>
          <w:p>
            <w:pPr/>
            <w:r>
              <w:rPr>
                <w:sz w:val="22"/>
                <w:szCs w:val="22"/>
              </w:rPr>
              <w:t xml:space="preserve">ΠΕ ΜΗΧΑΝΟΛΟΓΩΝ ΜΗΧΑΝΙΚΩΝ</w:t>
            </w:r>
          </w:p>
        </w:tc>
        <w:tc>
          <w:tcPr>
            <w:tcW w:w="2355" w:type="dxa"/>
            <w:noWrap/>
          </w:tcPr>
          <w:p>
            <w:pPr/>
            <w:r>
              <w:rPr>
                <w:sz w:val="22"/>
                <w:szCs w:val="22"/>
              </w:rPr>
              <w:t xml:space="preserve">2</w:t>
            </w:r>
          </w:p>
        </w:tc>
      </w:tr>
      <w:tr>
        <w:trPr/>
        <w:tc>
          <w:tcPr>
            <w:tcW w:w="855" w:type="dxa"/>
            <w:noWrap/>
          </w:tcPr>
          <w:p>
            <w:pPr/>
          </w:p>
        </w:tc>
        <w:tc>
          <w:tcPr>
            <w:tcW w:w="3795" w:type="dxa"/>
            <w:noWrap/>
          </w:tcPr>
          <w:p>
            <w:pPr/>
            <w:r>
              <w:rPr>
                <w:sz w:val="22"/>
                <w:szCs w:val="22"/>
              </w:rPr>
              <w:t xml:space="preserve">ΠΕ ΑΡΧΙΤΕΚΤΟΝΩΝ ΜΗΧΑΝΙΚΩΝ</w:t>
            </w:r>
          </w:p>
        </w:tc>
      </w:tr>
      <w:tr>
        <w:trPr/>
        <w:tc>
          <w:tcPr>
            <w:tcW w:w="3795" w:type="dxa"/>
            <w:noWrap/>
          </w:tcPr>
          <w:p>
            <w:pPr/>
            <w:r>
              <w:rPr>
                <w:sz w:val="22"/>
                <w:szCs w:val="22"/>
              </w:rPr>
              <w:t xml:space="preserve">ΠΕ ΗΛΕΚΤΡΟΛΟΓΩΝ ΜΗΧΑΝΙΚΩΝ</w:t>
            </w:r>
          </w:p>
        </w:tc>
      </w:tr>
      <w:tr>
        <w:trPr/>
        <w:tc>
          <w:tcPr>
            <w:tcW w:w="855" w:type="dxa"/>
            <w:noWrap/>
          </w:tcPr>
          <w:p>
            <w:pPr/>
            <w:r>
              <w:rPr>
                <w:sz w:val="22"/>
                <w:szCs w:val="22"/>
              </w:rPr>
              <w:t xml:space="preserve">4</w:t>
            </w:r>
          </w:p>
        </w:tc>
        <w:tc>
          <w:tcPr>
            <w:tcW w:w="2805" w:type="dxa"/>
            <w:noWrap/>
          </w:tcPr>
          <w:p>
            <w:pPr/>
            <w:r>
              <w:rPr>
                <w:sz w:val="22"/>
                <w:szCs w:val="22"/>
              </w:rPr>
              <w:t xml:space="preserve">ΠΕ ΠΟΛΙΤΙΣΤΙΚΗΣ ΔΙΑΧΕΙΡΙΣΗΣ</w:t>
            </w:r>
          </w:p>
        </w:tc>
        <w:tc>
          <w:tcPr>
            <w:tcW w:w="3795" w:type="dxa"/>
            <w:noWrap/>
          </w:tcPr>
          <w:p>
            <w:pPr/>
            <w:r>
              <w:rPr>
                <w:sz w:val="22"/>
                <w:szCs w:val="22"/>
              </w:rPr>
              <w:t xml:space="preserve">ΠΕ ΠΟΛΙΤΙΣΤΙΚΗΣ ΔΙΑΧΕΙΡΙΣΗΣ</w:t>
            </w:r>
          </w:p>
        </w:tc>
        <w:tc>
          <w:tcPr>
            <w:tcW w:w="2355" w:type="dxa"/>
            <w:noWrap/>
          </w:tcPr>
          <w:p>
            <w:pPr/>
            <w:r>
              <w:rPr>
                <w:sz w:val="22"/>
                <w:szCs w:val="22"/>
              </w:rPr>
              <w:t xml:space="preserve">1</w:t>
            </w:r>
          </w:p>
        </w:tc>
      </w:tr>
      <w:tr>
        <w:trPr/>
        <w:tc>
          <w:tcPr>
            <w:tcW w:w="855" w:type="dxa"/>
            <w:noWrap/>
          </w:tcPr>
          <w:p>
            <w:pPr/>
            <w:r>
              <w:rPr>
                <w:sz w:val="22"/>
                <w:szCs w:val="22"/>
              </w:rPr>
              <w:t xml:space="preserve">5</w:t>
            </w:r>
          </w:p>
        </w:tc>
        <w:tc>
          <w:tcPr>
            <w:tcW w:w="2805" w:type="dxa"/>
            <w:noWrap/>
          </w:tcPr>
          <w:p>
            <w:pPr/>
            <w:r>
              <w:rPr>
                <w:sz w:val="22"/>
                <w:szCs w:val="22"/>
              </w:rPr>
              <w:t xml:space="preserve">ΠΕ ΜΟΥΣΕΙΟΛΟΓΩΝ</w:t>
            </w:r>
          </w:p>
        </w:tc>
        <w:tc>
          <w:tcPr>
            <w:tcW w:w="3795" w:type="dxa"/>
            <w:noWrap/>
          </w:tcPr>
          <w:p>
            <w:pPr/>
            <w:r>
              <w:rPr>
                <w:sz w:val="22"/>
                <w:szCs w:val="22"/>
              </w:rPr>
              <w:t xml:space="preserve">ΠΕ ΜΟΥΣΕΙΟΛΟΓΩΝ</w:t>
            </w:r>
          </w:p>
        </w:tc>
        <w:tc>
          <w:tcPr>
            <w:tcW w:w="2355" w:type="dxa"/>
            <w:noWrap/>
          </w:tcPr>
          <w:p>
            <w:pPr/>
            <w:r>
              <w:rPr>
                <w:sz w:val="22"/>
                <w:szCs w:val="22"/>
              </w:rPr>
              <w:t xml:space="preserve">5</w:t>
            </w:r>
          </w:p>
        </w:tc>
      </w:tr>
      <w:tr>
        <w:trPr/>
        <w:tc>
          <w:tcPr>
            <w:tcW w:w="855" w:type="dxa"/>
            <w:noWrap/>
          </w:tcPr>
          <w:p>
            <w:pPr/>
            <w:r>
              <w:rPr>
                <w:sz w:val="22"/>
                <w:szCs w:val="22"/>
              </w:rPr>
              <w:t xml:space="preserve">6</w:t>
            </w:r>
          </w:p>
        </w:tc>
        <w:tc>
          <w:tcPr>
            <w:tcW w:w="2805" w:type="dxa"/>
            <w:noWrap/>
          </w:tcPr>
          <w:p>
            <w:pPr/>
            <w:r>
              <w:rPr>
                <w:sz w:val="22"/>
                <w:szCs w:val="22"/>
              </w:rPr>
              <w:t xml:space="preserve">ΠΕ ΕΠΙΚΟΙΝΩΝΙΑΣ ΕΝΗΜΕΡΩΣΗΣ ΚΑΙ ΔΗΜΟΣΙΩΝ ΣΧΕΣΕΩΝ</w:t>
            </w:r>
          </w:p>
        </w:tc>
        <w:tc>
          <w:tcPr>
            <w:tcW w:w="3795" w:type="dxa"/>
            <w:noWrap/>
          </w:tcPr>
          <w:p>
            <w:pPr/>
            <w:r>
              <w:rPr>
                <w:sz w:val="22"/>
                <w:szCs w:val="22"/>
              </w:rPr>
              <w:t xml:space="preserve">ΠΕ ΕΠΙΚΟΙΝΩΝΙΑΣ ΕΝΗΜΕΡΩΣΗΣ ΚΑΙ ΔΗΜΟΣΙΩΝ ΣΧΕΣΕΩΝ</w:t>
            </w:r>
          </w:p>
        </w:tc>
        <w:tc>
          <w:tcPr>
            <w:tcW w:w="2355" w:type="dxa"/>
            <w:noWrap/>
          </w:tcPr>
          <w:p>
            <w:pPr/>
            <w:r>
              <w:rPr>
                <w:sz w:val="22"/>
                <w:szCs w:val="22"/>
              </w:rPr>
              <w:t xml:space="preserve">4</w:t>
            </w:r>
          </w:p>
        </w:tc>
      </w:tr>
      <w:tr>
        <w:trPr/>
        <w:tc>
          <w:tcPr>
            <w:tcW w:w="855" w:type="dxa"/>
            <w:noWrap/>
          </w:tcPr>
          <w:p>
            <w:pPr/>
            <w:r>
              <w:rPr>
                <w:sz w:val="22"/>
                <w:szCs w:val="22"/>
              </w:rPr>
              <w:t xml:space="preserve">7</w:t>
            </w:r>
          </w:p>
        </w:tc>
        <w:tc>
          <w:tcPr>
            <w:tcW w:w="2805" w:type="dxa"/>
            <w:noWrap/>
          </w:tcPr>
          <w:p>
            <w:pPr/>
            <w:r>
              <w:rPr>
                <w:sz w:val="22"/>
                <w:szCs w:val="22"/>
              </w:rPr>
              <w:t xml:space="preserve">ΠΕ ΓΡΑΦΙΚΩΝ ΤΕΧΝΩΝ</w:t>
            </w:r>
          </w:p>
        </w:tc>
        <w:tc>
          <w:tcPr>
            <w:tcW w:w="3795" w:type="dxa"/>
            <w:noWrap/>
          </w:tcPr>
          <w:p>
            <w:pPr/>
            <w:r>
              <w:rPr>
                <w:sz w:val="22"/>
                <w:szCs w:val="22"/>
              </w:rPr>
              <w:t xml:space="preserve">ΠΕ ΓΡΑΦΙΚΩΝ ΤΕΧΝΩΝ</w:t>
            </w:r>
          </w:p>
        </w:tc>
        <w:tc>
          <w:tcPr>
            <w:tcW w:w="2355" w:type="dxa"/>
            <w:noWrap/>
          </w:tcPr>
          <w:p>
            <w:pPr/>
            <w:r>
              <w:rPr>
                <w:sz w:val="22"/>
                <w:szCs w:val="22"/>
              </w:rPr>
              <w:t xml:space="preserve">1</w:t>
            </w:r>
          </w:p>
        </w:tc>
      </w:tr>
      <w:tr>
        <w:trPr/>
        <w:tc>
          <w:tcPr>
            <w:tcW w:w="855" w:type="dxa"/>
            <w:noWrap/>
          </w:tcPr>
          <w:p>
            <w:pPr/>
            <w:r>
              <w:rPr>
                <w:sz w:val="22"/>
                <w:szCs w:val="22"/>
              </w:rPr>
              <w:t xml:space="preserve">8</w:t>
            </w:r>
          </w:p>
        </w:tc>
        <w:tc>
          <w:tcPr>
            <w:tcW w:w="2805" w:type="dxa"/>
            <w:noWrap/>
          </w:tcPr>
          <w:p>
            <w:pPr/>
            <w:r>
              <w:rPr>
                <w:sz w:val="22"/>
                <w:szCs w:val="22"/>
              </w:rPr>
              <w:t xml:space="preserve">ΠΕ ΠΛΗΡΟΦΟΡΙΚΗΣ</w:t>
            </w:r>
          </w:p>
        </w:tc>
        <w:tc>
          <w:tcPr>
            <w:tcW w:w="3795" w:type="dxa"/>
            <w:noWrap/>
          </w:tcPr>
          <w:p>
            <w:pPr/>
            <w:r>
              <w:rPr>
                <w:sz w:val="22"/>
                <w:szCs w:val="22"/>
              </w:rPr>
              <w:t xml:space="preserve">ΠΕ ΠΛΗΡΟΦΟΡΙΚΗΣ (SOFTWARE-HARDWARE)</w:t>
            </w:r>
          </w:p>
        </w:tc>
        <w:tc>
          <w:tcPr>
            <w:tcW w:w="2355" w:type="dxa"/>
            <w:noWrap/>
          </w:tcPr>
          <w:p>
            <w:pPr/>
            <w:r>
              <w:rPr>
                <w:sz w:val="22"/>
                <w:szCs w:val="22"/>
              </w:rPr>
              <w:t xml:space="preserve">1</w:t>
            </w:r>
          </w:p>
        </w:tc>
      </w:tr>
      <w:tr>
        <w:trPr/>
        <w:tc>
          <w:tcPr>
            <w:tcW w:w="855" w:type="dxa"/>
            <w:noWrap/>
          </w:tcPr>
          <w:p>
            <w:pPr/>
            <w:r>
              <w:rPr>
                <w:sz w:val="22"/>
                <w:szCs w:val="22"/>
              </w:rPr>
              <w:t xml:space="preserve">9</w:t>
            </w:r>
          </w:p>
        </w:tc>
        <w:tc>
          <w:tcPr>
            <w:tcW w:w="2805" w:type="dxa"/>
            <w:noWrap/>
          </w:tcPr>
          <w:p>
            <w:pPr/>
            <w:r>
              <w:rPr>
                <w:sz w:val="22"/>
                <w:szCs w:val="22"/>
              </w:rPr>
              <w:t xml:space="preserve">ΠΕ ΦΥΣΙΚΩΝ</w:t>
            </w:r>
          </w:p>
        </w:tc>
        <w:tc>
          <w:tcPr>
            <w:tcW w:w="3795" w:type="dxa"/>
            <w:noWrap/>
          </w:tcPr>
          <w:p>
            <w:pPr/>
            <w:r>
              <w:rPr>
                <w:sz w:val="22"/>
                <w:szCs w:val="22"/>
              </w:rPr>
              <w:t xml:space="preserve">ΠΕ ΦΥΣΙΚΩΝ</w:t>
            </w:r>
          </w:p>
        </w:tc>
        <w:tc>
          <w:tcPr>
            <w:tcW w:w="2355" w:type="dxa"/>
            <w:noWrap/>
          </w:tcPr>
          <w:p>
            <w:pPr/>
            <w:r>
              <w:rPr>
                <w:sz w:val="22"/>
                <w:szCs w:val="22"/>
              </w:rPr>
              <w:t xml:space="preserve">1</w:t>
            </w:r>
          </w:p>
        </w:tc>
      </w:tr>
      <w:tr>
        <w:trPr/>
        <w:tc>
          <w:tcPr>
            <w:tcW w:w="855" w:type="dxa"/>
            <w:noWrap/>
          </w:tcPr>
          <w:p>
            <w:pPr/>
            <w:r>
              <w:rPr>
                <w:sz w:val="22"/>
                <w:szCs w:val="22"/>
              </w:rPr>
              <w:t xml:space="preserve">10</w:t>
            </w:r>
          </w:p>
        </w:tc>
        <w:tc>
          <w:tcPr>
            <w:tcW w:w="2805" w:type="dxa"/>
            <w:noWrap/>
          </w:tcPr>
          <w:p>
            <w:pPr/>
            <w:r>
              <w:rPr>
                <w:sz w:val="22"/>
                <w:szCs w:val="22"/>
              </w:rPr>
              <w:t xml:space="preserve">ΠΕ ΣΥΝΤΗΡΗΤΩΝ ΑΡΧΑΙΟΤΗΤΩΝ ΚΑΙ ΕΡΓΩΝ ΤΕΧΝΗΣ</w:t>
            </w:r>
          </w:p>
        </w:tc>
        <w:tc>
          <w:tcPr>
            <w:tcW w:w="3795" w:type="dxa"/>
            <w:noWrap/>
          </w:tcPr>
          <w:p>
            <w:pPr/>
            <w:r>
              <w:rPr>
                <w:sz w:val="22"/>
                <w:szCs w:val="22"/>
              </w:rPr>
              <w:t xml:space="preserve">ΠΕ ΣΥΝΤΗΡΗΤΩΝ ΑΡΧΑΙΟΤΗΤΩΝ ΚΑΙ ΕΡΓΩΝ ΤΕΧΝΗΣ</w:t>
            </w:r>
          </w:p>
        </w:tc>
        <w:tc>
          <w:tcPr>
            <w:tcW w:w="2355" w:type="dxa"/>
            <w:noWrap/>
          </w:tcPr>
          <w:p>
            <w:pPr/>
            <w:r>
              <w:rPr>
                <w:sz w:val="22"/>
                <w:szCs w:val="22"/>
              </w:rPr>
              <w:t xml:space="preserve">3</w:t>
            </w:r>
          </w:p>
        </w:tc>
      </w:tr>
      <w:tr>
        <w:trPr/>
        <w:tc>
          <w:tcPr>
            <w:tcW w:w="855" w:type="dxa"/>
            <w:noWrap/>
          </w:tcPr>
          <w:p>
            <w:pPr/>
            <w:r>
              <w:rPr>
                <w:sz w:val="22"/>
                <w:szCs w:val="22"/>
              </w:rPr>
              <w:t xml:space="preserve">11</w:t>
            </w:r>
          </w:p>
        </w:tc>
        <w:tc>
          <w:tcPr>
            <w:tcW w:w="2805" w:type="dxa"/>
            <w:noWrap/>
          </w:tcPr>
          <w:p>
            <w:pPr/>
            <w:r>
              <w:rPr>
                <w:sz w:val="22"/>
                <w:szCs w:val="22"/>
              </w:rPr>
              <w:t xml:space="preserve">ΠΕ ΑΡΧΕΙΟΝΟΜΩΝ ΚΑΙ ΒΙΒΛΙΟΘΗΚΟΝΟΜΩΝ</w:t>
            </w:r>
          </w:p>
        </w:tc>
        <w:tc>
          <w:tcPr>
            <w:tcW w:w="3795" w:type="dxa"/>
            <w:noWrap/>
          </w:tcPr>
          <w:p>
            <w:pPr/>
            <w:r>
              <w:rPr>
                <w:sz w:val="22"/>
                <w:szCs w:val="22"/>
              </w:rPr>
              <w:t xml:space="preserve">ΠΕ ΑΡΧΕΙΟΝΟΜΩΝ</w:t>
            </w:r>
          </w:p>
        </w:tc>
        <w:tc>
          <w:tcPr>
            <w:tcW w:w="2355" w:type="dxa"/>
            <w:noWrap/>
          </w:tcPr>
          <w:p>
            <w:pPr/>
            <w:r>
              <w:rPr>
                <w:sz w:val="22"/>
                <w:szCs w:val="22"/>
              </w:rPr>
              <w:t xml:space="preserve">1</w:t>
            </w:r>
          </w:p>
        </w:tc>
      </w:tr>
      <w:tr>
        <w:trPr/>
        <w:tc>
          <w:tcPr>
            <w:tcW w:w="855" w:type="dxa"/>
            <w:noWrap/>
          </w:tcPr>
          <w:p>
            <w:pPr/>
            <w:r>
              <w:rPr>
                <w:sz w:val="22"/>
                <w:szCs w:val="22"/>
              </w:rPr>
              <w:t xml:space="preserve">12</w:t>
            </w:r>
          </w:p>
        </w:tc>
        <w:tc>
          <w:tcPr>
            <w:tcW w:w="2805" w:type="dxa"/>
            <w:noWrap/>
          </w:tcPr>
          <w:p>
            <w:pPr/>
            <w:r>
              <w:rPr>
                <w:sz w:val="22"/>
                <w:szCs w:val="22"/>
              </w:rPr>
              <w:t xml:space="preserve">ΠΕ ΜΕΤΑΦΡΑΣΤΩΝ-ΔΙΕΡΜΗΝΕΩΝ</w:t>
            </w:r>
          </w:p>
        </w:tc>
        <w:tc>
          <w:tcPr>
            <w:tcW w:w="3795" w:type="dxa"/>
            <w:noWrap/>
          </w:tcPr>
          <w:p>
            <w:pPr/>
            <w:r>
              <w:rPr>
                <w:sz w:val="22"/>
                <w:szCs w:val="22"/>
              </w:rPr>
              <w:t xml:space="preserve">ΠΕ ΜΕΤΑΦΡΑΣΤΩΝ-ΔΙΕΡΜΗΝΕΩΝ</w:t>
            </w:r>
          </w:p>
        </w:tc>
        <w:tc>
          <w:tcPr>
            <w:tcW w:w="2355" w:type="dxa"/>
            <w:noWrap/>
          </w:tcPr>
          <w:p>
            <w:pPr/>
            <w:r>
              <w:rPr>
                <w:sz w:val="22"/>
                <w:szCs w:val="22"/>
              </w:rPr>
              <w:t xml:space="preserve">1</w:t>
            </w:r>
          </w:p>
        </w:tc>
      </w:tr>
    </w:tbl>
    <w:p>
      <w:pPr>
        <w:jc w:val="both"/>
      </w:pPr>
      <w:r>
        <w:rPr>
          <w:sz w:val="22"/>
          <w:szCs w:val="22"/>
        </w:rPr>
        <w:t xml:space="preserve"> </w:t>
      </w:r>
    </w:p>
    <w:p>
      <w:pPr>
        <w:numPr>
          <w:ilvl w:val="0"/>
          <w:numId w:val="84"/>
        </w:numPr>
      </w:pPr>
      <w:r>
        <w:rPr>
          <w:sz w:val="22"/>
          <w:szCs w:val="22"/>
        </w:rPr>
        <w:t xml:space="preserve">ΚΑΤΗΓΟΡΙΑ Τ.Ε.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jc w:val="both"/>
            </w:pPr>
            <w:r>
              <w:rPr>
                <w:sz w:val="22"/>
                <w:szCs w:val="22"/>
                <w:b w:val="1"/>
                <w:bCs w:val="1"/>
              </w:rPr>
              <w:t xml:space="preserve">ΑΡΙΘΜΟΣ</w:t>
            </w:r>
          </w:p>
          <w:p>
            <w:pPr>
              <w:jc w:val="both"/>
            </w:pPr>
            <w:r>
              <w:rPr>
                <w:sz w:val="22"/>
                <w:szCs w:val="22"/>
                <w:b w:val="1"/>
                <w:bCs w:val="1"/>
              </w:rPr>
              <w:t xml:space="preserve">ΘΕΣΕΩΝ</w:t>
            </w:r>
          </w:p>
        </w:tc>
      </w:tr>
      <w:tr>
        <w:trPr/>
        <w:tc>
          <w:tcPr>
            <w:tcW w:w="855" w:type="dxa"/>
            <w:noWrap/>
          </w:tcPr>
          <w:p>
            <w:pPr/>
            <w:r>
              <w:rPr>
                <w:sz w:val="22"/>
                <w:szCs w:val="22"/>
              </w:rPr>
              <w:t xml:space="preserve">1</w:t>
            </w:r>
          </w:p>
        </w:tc>
        <w:tc>
          <w:tcPr>
            <w:tcW w:w="2805" w:type="dxa"/>
            <w:noWrap/>
          </w:tcPr>
          <w:p>
            <w:pPr/>
            <w:r>
              <w:rPr>
                <w:sz w:val="22"/>
                <w:szCs w:val="22"/>
              </w:rPr>
              <w:t xml:space="preserve">ΤΕ ΠΛΗΡΟΦΟΡΙΚΗΣ</w:t>
            </w:r>
          </w:p>
        </w:tc>
        <w:tc>
          <w:tcPr>
            <w:tcW w:w="3795" w:type="dxa"/>
            <w:noWrap/>
          </w:tcPr>
          <w:p>
            <w:pPr/>
            <w:r>
              <w:rPr>
                <w:sz w:val="22"/>
                <w:szCs w:val="22"/>
              </w:rPr>
              <w:t xml:space="preserve">ΤΕ ΠΛΗΡΟΦΟΡΙΚΗΣ (SOFTWARE ή HARDWARE)</w:t>
            </w:r>
          </w:p>
        </w:tc>
        <w:tc>
          <w:tcPr>
            <w:tcW w:w="2355" w:type="dxa"/>
            <w:noWrap/>
          </w:tcPr>
          <w:p>
            <w:pPr/>
            <w:r>
              <w:rPr>
                <w:sz w:val="22"/>
                <w:szCs w:val="22"/>
              </w:rPr>
              <w:t xml:space="preserve">1</w:t>
            </w:r>
          </w:p>
        </w:tc>
      </w:tr>
      <w:tr>
        <w:trPr/>
        <w:tc>
          <w:tcPr>
            <w:tcW w:w="855" w:type="dxa"/>
            <w:noWrap/>
          </w:tcPr>
          <w:p>
            <w:pPr/>
            <w:r>
              <w:rPr>
                <w:sz w:val="22"/>
                <w:szCs w:val="22"/>
              </w:rPr>
              <w:t xml:space="preserve">2</w:t>
            </w:r>
          </w:p>
        </w:tc>
        <w:tc>
          <w:tcPr>
            <w:tcW w:w="2805" w:type="dxa"/>
            <w:noWrap/>
          </w:tcPr>
          <w:p>
            <w:pPr/>
            <w:r>
              <w:rPr>
                <w:sz w:val="22"/>
                <w:szCs w:val="22"/>
              </w:rPr>
              <w:t xml:space="preserve">ΤΕ ΜΗΧΑΝΙΚΩΝ</w:t>
            </w:r>
          </w:p>
        </w:tc>
        <w:tc>
          <w:tcPr>
            <w:tcW w:w="3795" w:type="dxa"/>
            <w:noWrap/>
          </w:tcPr>
          <w:p>
            <w:pPr/>
            <w:r>
              <w:rPr>
                <w:sz w:val="22"/>
                <w:szCs w:val="22"/>
              </w:rPr>
              <w:t xml:space="preserve">ΤΕ ΜΗΧΑΝΟΛΟΓΩΝ ΜΗΧΑΝΙΚΩΝ</w:t>
            </w:r>
          </w:p>
        </w:tc>
        <w:tc>
          <w:tcPr>
            <w:tcW w:w="2355" w:type="dxa"/>
            <w:noWrap/>
          </w:tcPr>
          <w:p>
            <w:pPr/>
            <w:r>
              <w:rPr>
                <w:sz w:val="22"/>
                <w:szCs w:val="22"/>
              </w:rPr>
              <w:t xml:space="preserve">1</w:t>
            </w:r>
          </w:p>
        </w:tc>
      </w:tr>
      <w:tr>
        <w:trPr/>
        <w:tc>
          <w:tcPr>
            <w:tcW w:w="855" w:type="dxa"/>
            <w:noWrap/>
          </w:tcPr>
          <w:p>
            <w:pPr/>
            <w:r>
              <w:rPr>
                <w:sz w:val="22"/>
                <w:szCs w:val="22"/>
              </w:rPr>
              <w:t xml:space="preserve">3</w:t>
            </w:r>
          </w:p>
        </w:tc>
        <w:tc>
          <w:tcPr>
            <w:tcW w:w="2805" w:type="dxa"/>
            <w:noWrap/>
          </w:tcPr>
          <w:p>
            <w:pPr/>
            <w:r>
              <w:rPr>
                <w:sz w:val="22"/>
                <w:szCs w:val="22"/>
              </w:rPr>
              <w:t xml:space="preserve">ΤΕ ΔΙΟΙΚΗΤΙΚΟΥ – ΛΟΓΙΣΤΙΚΟΥ</w:t>
            </w:r>
          </w:p>
        </w:tc>
        <w:tc>
          <w:tcPr>
            <w:tcW w:w="3795" w:type="dxa"/>
            <w:noWrap/>
          </w:tcPr>
          <w:p>
            <w:pPr/>
            <w:r>
              <w:rPr>
                <w:sz w:val="22"/>
                <w:szCs w:val="22"/>
              </w:rPr>
              <w:t xml:space="preserve">ΤΕ ΛΟΓΙΣΤΙΚΟΥ</w:t>
            </w:r>
          </w:p>
        </w:tc>
        <w:tc>
          <w:tcPr>
            <w:tcW w:w="2355" w:type="dxa"/>
            <w:noWrap/>
          </w:tcPr>
          <w:p>
            <w:pPr/>
            <w:r>
              <w:rPr>
                <w:sz w:val="22"/>
                <w:szCs w:val="22"/>
              </w:rPr>
              <w:t xml:space="preserve">2</w:t>
            </w:r>
          </w:p>
        </w:tc>
      </w:tr>
      <w:tr>
        <w:trPr/>
        <w:tc>
          <w:tcPr>
            <w:tcW w:w="855" w:type="dxa"/>
            <w:noWrap/>
          </w:tcPr>
          <w:p>
            <w:pPr/>
            <w:r>
              <w:rPr>
                <w:sz w:val="22"/>
                <w:szCs w:val="22"/>
              </w:rPr>
              <w:t xml:space="preserve">4</w:t>
            </w:r>
          </w:p>
        </w:tc>
        <w:tc>
          <w:tcPr>
            <w:tcW w:w="2805" w:type="dxa"/>
            <w:noWrap/>
          </w:tcPr>
          <w:p>
            <w:pPr/>
            <w:r>
              <w:rPr>
                <w:sz w:val="22"/>
                <w:szCs w:val="22"/>
              </w:rPr>
              <w:t xml:space="preserve">ΤΕ ΣΥΝΤΗΡΗΤΩΝ ΑΡΧΑΙΟΤΗΤΩΝ ΚΑΙ ΕΡΓΩΝ ΤΕΧΝΗΣ</w:t>
            </w:r>
          </w:p>
        </w:tc>
        <w:tc>
          <w:tcPr>
            <w:tcW w:w="3795" w:type="dxa"/>
            <w:noWrap/>
          </w:tcPr>
          <w:p>
            <w:pPr/>
            <w:r>
              <w:rPr>
                <w:sz w:val="22"/>
                <w:szCs w:val="22"/>
              </w:rPr>
              <w:t xml:space="preserve">ΤΕ ΣΥΝΤΗΡΗΤΩΝ ΑΡΧΑΙΟΤΗΤΩΝ ΚΑΙ ΕΡΓΩΝ ΤΕΧΝΗΣ</w:t>
            </w:r>
          </w:p>
        </w:tc>
        <w:tc>
          <w:tcPr>
            <w:tcW w:w="2355" w:type="dxa"/>
            <w:noWrap/>
          </w:tcPr>
          <w:p>
            <w:pPr/>
            <w:r>
              <w:rPr>
                <w:sz w:val="22"/>
                <w:szCs w:val="22"/>
              </w:rPr>
              <w:t xml:space="preserve">3</w:t>
            </w:r>
          </w:p>
        </w:tc>
      </w:tr>
      <w:tr>
        <w:trPr/>
        <w:tc>
          <w:tcPr>
            <w:tcW w:w="855" w:type="dxa"/>
            <w:noWrap/>
          </w:tcPr>
          <w:p>
            <w:pPr/>
            <w:r>
              <w:rPr>
                <w:sz w:val="22"/>
                <w:szCs w:val="22"/>
              </w:rPr>
              <w:t xml:space="preserve">5</w:t>
            </w:r>
          </w:p>
        </w:tc>
        <w:tc>
          <w:tcPr>
            <w:tcW w:w="2805" w:type="dxa"/>
            <w:noWrap/>
          </w:tcPr>
          <w:p>
            <w:pPr/>
            <w:r>
              <w:rPr>
                <w:sz w:val="22"/>
                <w:szCs w:val="22"/>
              </w:rPr>
              <w:t xml:space="preserve">ΤΕ ΦΩΤΟΓΡΑΦΙΑΣ</w:t>
            </w:r>
          </w:p>
        </w:tc>
        <w:tc>
          <w:tcPr>
            <w:tcW w:w="3795" w:type="dxa"/>
            <w:noWrap/>
          </w:tcPr>
          <w:p>
            <w:pPr/>
            <w:r>
              <w:rPr>
                <w:sz w:val="22"/>
                <w:szCs w:val="22"/>
              </w:rPr>
              <w:t xml:space="preserve">ΤΕ ΦΩΤΟΓΡΑΦΙΑΣ</w:t>
            </w:r>
          </w:p>
        </w:tc>
        <w:tc>
          <w:tcPr>
            <w:tcW w:w="2355" w:type="dxa"/>
            <w:noWrap/>
          </w:tcPr>
          <w:p>
            <w:pPr/>
            <w:r>
              <w:rPr>
                <w:sz w:val="22"/>
                <w:szCs w:val="22"/>
              </w:rPr>
              <w:t xml:space="preserve">1</w:t>
            </w:r>
          </w:p>
        </w:tc>
      </w:tr>
      <w:tr>
        <w:trPr/>
        <w:tc>
          <w:tcPr>
            <w:tcW w:w="855" w:type="dxa"/>
            <w:noWrap/>
          </w:tcPr>
          <w:p>
            <w:pPr/>
            <w:r>
              <w:rPr>
                <w:sz w:val="22"/>
                <w:szCs w:val="22"/>
              </w:rPr>
              <w:t xml:space="preserve">6</w:t>
            </w:r>
          </w:p>
        </w:tc>
        <w:tc>
          <w:tcPr>
            <w:tcW w:w="2805" w:type="dxa"/>
            <w:noWrap/>
          </w:tcPr>
          <w:p>
            <w:pPr/>
            <w:r>
              <w:rPr>
                <w:sz w:val="22"/>
                <w:szCs w:val="22"/>
              </w:rPr>
              <w:t xml:space="preserve">ΤΕ ΒΙΒΛΙΟΘΗΚΟΝΟΜΙΑΣ</w:t>
            </w:r>
          </w:p>
        </w:tc>
        <w:tc>
          <w:tcPr>
            <w:tcW w:w="3795" w:type="dxa"/>
            <w:noWrap/>
          </w:tcPr>
          <w:p>
            <w:pPr/>
            <w:r>
              <w:rPr>
                <w:sz w:val="22"/>
                <w:szCs w:val="22"/>
              </w:rPr>
              <w:t xml:space="preserve">ΤΕ ΒΙΒΛΙΟΘΗΚΟΝΟΜΙΑΣ</w:t>
            </w:r>
          </w:p>
        </w:tc>
        <w:tc>
          <w:tcPr>
            <w:tcW w:w="2355" w:type="dxa"/>
            <w:noWrap/>
          </w:tcPr>
          <w:p>
            <w:pPr/>
            <w:r>
              <w:rPr>
                <w:sz w:val="22"/>
                <w:szCs w:val="22"/>
              </w:rPr>
              <w:t xml:space="preserve">2</w:t>
            </w:r>
          </w:p>
        </w:tc>
      </w:tr>
    </w:tbl>
    <w:p>
      <w:pPr>
        <w:jc w:val="both"/>
      </w:pPr>
      <w:r>
        <w:rPr>
          <w:sz w:val="22"/>
          <w:szCs w:val="22"/>
        </w:rPr>
        <w:t xml:space="preserve"> </w:t>
      </w:r>
    </w:p>
    <w:p>
      <w:pPr>
        <w:numPr>
          <w:ilvl w:val="0"/>
          <w:numId w:val="85"/>
        </w:numPr>
      </w:pPr>
      <w:r>
        <w:rPr>
          <w:sz w:val="22"/>
          <w:szCs w:val="22"/>
        </w:rPr>
        <w:t xml:space="preserve">ΚΑΤΗΓΟΡΙΑ Δ.Ε.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jc w:val="both"/>
            </w:pPr>
            <w:r>
              <w:rPr>
                <w:sz w:val="22"/>
                <w:szCs w:val="22"/>
                <w:b w:val="1"/>
                <w:bCs w:val="1"/>
              </w:rPr>
              <w:t xml:space="preserve">ΑΡΙΘΜΟΣ</w:t>
            </w:r>
          </w:p>
          <w:p>
            <w:pPr>
              <w:jc w:val="both"/>
            </w:pPr>
            <w:r>
              <w:rPr>
                <w:sz w:val="22"/>
                <w:szCs w:val="22"/>
                <w:b w:val="1"/>
                <w:bCs w:val="1"/>
              </w:rPr>
              <w:t xml:space="preserve">ΘΕΣΕΩΝ</w:t>
            </w:r>
          </w:p>
        </w:tc>
      </w:tr>
      <w:tr>
        <w:trPr/>
        <w:tc>
          <w:tcPr>
            <w:tcW w:w="855" w:type="dxa"/>
            <w:noWrap/>
          </w:tcPr>
          <w:p>
            <w:pPr/>
            <w:r>
              <w:rPr>
                <w:sz w:val="22"/>
                <w:szCs w:val="22"/>
              </w:rPr>
              <w:t xml:space="preserve">1</w:t>
            </w:r>
          </w:p>
        </w:tc>
        <w:tc>
          <w:tcPr>
            <w:tcW w:w="2805" w:type="dxa"/>
            <w:noWrap/>
          </w:tcPr>
          <w:p>
            <w:pPr>
              <w:jc w:val="both"/>
            </w:pPr>
            <w:r>
              <w:rPr>
                <w:sz w:val="22"/>
                <w:szCs w:val="22"/>
              </w:rPr>
              <w:t xml:space="preserve">ΔΕ ΔΙΟΙΚΗΤΙΚΟΥ-</w:t>
            </w:r>
          </w:p>
          <w:p>
            <w:pPr>
              <w:jc w:val="both"/>
            </w:pPr>
            <w:r>
              <w:rPr>
                <w:sz w:val="22"/>
                <w:szCs w:val="22"/>
              </w:rPr>
              <w:t xml:space="preserve">ΛΟΓΙΣΤΙΚΟΥ</w:t>
            </w:r>
          </w:p>
        </w:tc>
        <w:tc>
          <w:tcPr>
            <w:tcW w:w="3795" w:type="dxa"/>
            <w:noWrap/>
          </w:tcPr>
          <w:p>
            <w:pPr/>
            <w:r>
              <w:rPr>
                <w:sz w:val="22"/>
                <w:szCs w:val="22"/>
              </w:rPr>
              <w:t xml:space="preserve">ΔΕ ΔΙΟΙΚΗΤΙΚΟΥ-ΛΟΓΙΣΤΙΚΟΥ</w:t>
            </w:r>
          </w:p>
        </w:tc>
        <w:tc>
          <w:tcPr>
            <w:tcW w:w="2355" w:type="dxa"/>
            <w:noWrap/>
          </w:tcPr>
          <w:p>
            <w:pPr/>
            <w:r>
              <w:rPr>
                <w:sz w:val="22"/>
                <w:szCs w:val="22"/>
              </w:rPr>
              <w:t xml:space="preserve">11</w:t>
            </w:r>
          </w:p>
        </w:tc>
      </w:tr>
      <w:tr>
        <w:trPr/>
        <w:tc>
          <w:tcPr>
            <w:tcW w:w="855" w:type="dxa"/>
            <w:noWrap/>
          </w:tcPr>
          <w:p>
            <w:pPr/>
            <w:r>
              <w:rPr>
                <w:sz w:val="22"/>
                <w:szCs w:val="22"/>
              </w:rPr>
              <w:t xml:space="preserve">2</w:t>
            </w:r>
          </w:p>
        </w:tc>
        <w:tc>
          <w:tcPr>
            <w:tcW w:w="2805" w:type="dxa"/>
            <w:noWrap/>
          </w:tcPr>
          <w:p>
            <w:pPr>
              <w:jc w:val="both"/>
            </w:pPr>
            <w:r>
              <w:rPr>
                <w:sz w:val="22"/>
                <w:szCs w:val="22"/>
              </w:rPr>
              <w:t xml:space="preserve">ΔΕ ΣΥΝΤΗΡΗΤΩΝ ΑΡΧΑΙΟΤΗΤΩΝ ΚΑΙ</w:t>
            </w:r>
          </w:p>
          <w:p>
            <w:pPr>
              <w:jc w:val="both"/>
            </w:pPr>
            <w:r>
              <w:rPr>
                <w:sz w:val="22"/>
                <w:szCs w:val="22"/>
              </w:rPr>
              <w:t xml:space="preserve">ΕΡΓΩΝ ΤΕΧΝΗΣ</w:t>
            </w:r>
          </w:p>
        </w:tc>
        <w:tc>
          <w:tcPr>
            <w:tcW w:w="3795" w:type="dxa"/>
            <w:noWrap/>
          </w:tcPr>
          <w:p>
            <w:pPr/>
            <w:r>
              <w:rPr>
                <w:sz w:val="22"/>
                <w:szCs w:val="22"/>
              </w:rPr>
              <w:t xml:space="preserve">ΔΕ ΣΥΝΤΗΡΗΤΩΝ ΑΡΧΑΙΟΤΗΤΩΝ ΚΑΙ ΕΡΓΩΝ ΤΕΧΝΗΣ</w:t>
            </w:r>
          </w:p>
        </w:tc>
        <w:tc>
          <w:tcPr>
            <w:tcW w:w="2355" w:type="dxa"/>
            <w:noWrap/>
          </w:tcPr>
          <w:p>
            <w:pPr/>
            <w:r>
              <w:rPr>
                <w:sz w:val="22"/>
                <w:szCs w:val="22"/>
              </w:rPr>
              <w:t xml:space="preserve">1</w:t>
            </w:r>
          </w:p>
        </w:tc>
      </w:tr>
      <w:tr>
        <w:trPr/>
        <w:tc>
          <w:tcPr>
            <w:tcW w:w="855" w:type="dxa"/>
            <w:noWrap/>
          </w:tcPr>
          <w:p>
            <w:pPr/>
            <w:r>
              <w:rPr>
                <w:sz w:val="22"/>
                <w:szCs w:val="22"/>
              </w:rPr>
              <w:t xml:space="preserve">3</w:t>
            </w:r>
          </w:p>
        </w:tc>
        <w:tc>
          <w:tcPr>
            <w:tcW w:w="2805" w:type="dxa"/>
            <w:noWrap/>
          </w:tcPr>
          <w:p>
            <w:pPr/>
            <w:r>
              <w:rPr>
                <w:sz w:val="22"/>
                <w:szCs w:val="22"/>
              </w:rPr>
              <w:t xml:space="preserve">ΔΕ ΦΩΤΟΓΡΑΦΩΝ</w:t>
            </w:r>
          </w:p>
        </w:tc>
        <w:tc>
          <w:tcPr>
            <w:tcW w:w="3795" w:type="dxa"/>
            <w:noWrap/>
          </w:tcPr>
          <w:p>
            <w:pPr/>
            <w:r>
              <w:rPr>
                <w:sz w:val="22"/>
                <w:szCs w:val="22"/>
              </w:rPr>
              <w:t xml:space="preserve">ΔΕ ΦΩΤΟΓΡΑΦΩΝ</w:t>
            </w:r>
          </w:p>
        </w:tc>
        <w:tc>
          <w:tcPr>
            <w:tcW w:w="2355" w:type="dxa"/>
            <w:noWrap/>
          </w:tcPr>
          <w:p>
            <w:pPr/>
            <w:r>
              <w:rPr>
                <w:sz w:val="22"/>
                <w:szCs w:val="22"/>
              </w:rPr>
              <w:t xml:space="preserve">1</w:t>
            </w:r>
          </w:p>
        </w:tc>
      </w:tr>
      <w:tr>
        <w:trPr/>
        <w:tc>
          <w:tcPr>
            <w:tcW w:w="855" w:type="dxa"/>
            <w:noWrap/>
          </w:tcPr>
          <w:p>
            <w:pPr/>
            <w:r>
              <w:rPr>
                <w:sz w:val="22"/>
                <w:szCs w:val="22"/>
              </w:rPr>
              <w:t xml:space="preserve">4</w:t>
            </w:r>
          </w:p>
        </w:tc>
        <w:tc>
          <w:tcPr>
            <w:tcW w:w="2805" w:type="dxa"/>
            <w:noWrap/>
          </w:tcPr>
          <w:p>
            <w:pPr/>
          </w:p>
        </w:tc>
        <w:tc>
          <w:tcPr>
            <w:tcW w:w="3795" w:type="dxa"/>
            <w:noWrap/>
          </w:tcPr>
          <w:p>
            <w:pPr/>
            <w:r>
              <w:rPr>
                <w:sz w:val="22"/>
                <w:szCs w:val="22"/>
              </w:rPr>
              <w:t xml:space="preserve">ΔΕ ΦΥΛΑΚΩΝ</w:t>
            </w:r>
          </w:p>
        </w:tc>
        <w:tc>
          <w:tcPr>
            <w:tcW w:w="2355" w:type="dxa"/>
            <w:noWrap/>
          </w:tcPr>
          <w:p>
            <w:pPr/>
          </w:p>
        </w:tc>
      </w:tr>
    </w:tbl>
    <w:p>
      <w:pPr>
        <w:jc w:val="both"/>
      </w:pPr>
      <w:r>
        <w:rPr>
          <w:sz w:val="22"/>
          <w:szCs w:val="22"/>
        </w:rPr>
        <w:t xml:space="preserve"> </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p>
        </w:tc>
        <w:tc>
          <w:tcPr>
            <w:tcW w:w="2805" w:type="dxa"/>
            <w:noWrap/>
          </w:tcPr>
          <w:p>
            <w:pPr/>
            <w:r>
              <w:rPr>
                <w:sz w:val="22"/>
                <w:szCs w:val="22"/>
                <w:b w:val="1"/>
                <w:bCs w:val="1"/>
              </w:rPr>
              <w:t xml:space="preserve">ΔΕ</w:t>
            </w:r>
            <w:r>
              <w:rPr>
                <w:sz w:val="22"/>
                <w:szCs w:val="22"/>
              </w:rPr>
              <w:t xml:space="preserve"> </w:t>
            </w:r>
            <w:r>
              <w:rPr>
                <w:sz w:val="22"/>
                <w:szCs w:val="22"/>
                <w:b w:val="1"/>
                <w:bCs w:val="1"/>
              </w:rPr>
              <w:t xml:space="preserve">ΦΥΛΑΚΩΝ</w:t>
            </w:r>
          </w:p>
        </w:tc>
        <w:tc>
          <w:tcPr>
            <w:tcW w:w="3795" w:type="dxa"/>
            <w:noWrap/>
          </w:tcPr>
          <w:p>
            <w:pPr/>
          </w:p>
        </w:tc>
        <w:tc>
          <w:tcPr>
            <w:tcW w:w="2355" w:type="dxa"/>
            <w:noWrap/>
          </w:tcPr>
          <w:p>
            <w:pPr/>
            <w:r>
              <w:rPr>
                <w:sz w:val="22"/>
                <w:szCs w:val="22"/>
                <w:b w:val="1"/>
                <w:bCs w:val="1"/>
              </w:rPr>
              <w:t xml:space="preserve">3</w:t>
            </w:r>
            <w:r>
              <w:rPr>
                <w:sz w:val="22"/>
                <w:szCs w:val="22"/>
                <w:b w:val="1"/>
                <w:bCs w:val="1"/>
              </w:rPr>
              <w:t xml:space="preserve">2</w:t>
            </w:r>
          </w:p>
        </w:tc>
      </w:tr>
      <w:tr>
        <w:trPr/>
        <w:tc>
          <w:tcPr>
            <w:tcW w:w="3795" w:type="dxa"/>
            <w:noWrap/>
          </w:tcPr>
          <w:p>
            <w:pPr/>
            <w:r>
              <w:rPr>
                <w:sz w:val="22"/>
                <w:szCs w:val="22"/>
              </w:rPr>
              <w:t xml:space="preserve">ΔΕ ΝΥΧΤΟΦΥΛΑΚΩΝ</w:t>
            </w:r>
          </w:p>
        </w:tc>
        <w:tc>
          <w:tcPr>
            <w:tcW w:w="2355" w:type="dxa"/>
            <w:noWrap/>
          </w:tcPr>
          <w:p>
            <w:pPr/>
            <w:r>
              <w:rPr>
                <w:sz w:val="22"/>
                <w:szCs w:val="22"/>
              </w:rPr>
              <w:t xml:space="preserve">9</w:t>
            </w:r>
          </w:p>
        </w:tc>
      </w:tr>
      <w:tr>
        <w:trPr/>
        <w:tc>
          <w:tcPr>
            <w:tcW w:w="3795" w:type="dxa"/>
            <w:noWrap/>
          </w:tcPr>
          <w:p>
            <w:pPr/>
            <w:r>
              <w:rPr>
                <w:sz w:val="22"/>
                <w:szCs w:val="22"/>
              </w:rPr>
              <w:t xml:space="preserve">ΔΕ ΦΥΛΑΚΩΝ ΚΛΗΤΗΡΩΝ ΘΥΡΩΡΩΝ</w:t>
            </w:r>
          </w:p>
        </w:tc>
        <w:tc>
          <w:tcPr>
            <w:tcW w:w="2355" w:type="dxa"/>
            <w:noWrap/>
          </w:tcPr>
          <w:p>
            <w:pPr/>
            <w:r>
              <w:rPr>
                <w:sz w:val="22"/>
                <w:szCs w:val="22"/>
              </w:rPr>
              <w:t xml:space="preserve">4</w:t>
            </w:r>
          </w:p>
        </w:tc>
      </w:tr>
      <w:tr>
        <w:trPr/>
        <w:tc>
          <w:tcPr>
            <w:tcW w:w="855" w:type="dxa"/>
            <w:noWrap/>
          </w:tcPr>
          <w:p>
            <w:pPr/>
            <w:r>
              <w:rPr>
                <w:sz w:val="22"/>
                <w:szCs w:val="22"/>
              </w:rPr>
              <w:t xml:space="preserve">5</w:t>
            </w:r>
          </w:p>
        </w:tc>
        <w:tc>
          <w:tcPr>
            <w:tcW w:w="2805" w:type="dxa"/>
            <w:noWrap/>
          </w:tcPr>
          <w:p>
            <w:pPr/>
            <w:r>
              <w:rPr>
                <w:sz w:val="22"/>
                <w:szCs w:val="22"/>
              </w:rPr>
              <w:t xml:space="preserve">ΔΕ ΟΔΗΓΩΝ</w:t>
            </w:r>
          </w:p>
        </w:tc>
        <w:tc>
          <w:tcPr>
            <w:tcW w:w="3795" w:type="dxa"/>
            <w:noWrap/>
          </w:tcPr>
          <w:p>
            <w:pPr/>
            <w:r>
              <w:rPr>
                <w:sz w:val="22"/>
                <w:szCs w:val="22"/>
              </w:rPr>
              <w:t xml:space="preserve">ΔΕ ΟΔΗΓΩΝ</w:t>
            </w:r>
          </w:p>
        </w:tc>
        <w:tc>
          <w:tcPr>
            <w:tcW w:w="2355" w:type="dxa"/>
            <w:noWrap/>
          </w:tcPr>
          <w:p>
            <w:pPr/>
            <w:r>
              <w:rPr>
                <w:sz w:val="22"/>
                <w:szCs w:val="22"/>
              </w:rPr>
              <w:t xml:space="preserve">1</w:t>
            </w:r>
          </w:p>
        </w:tc>
      </w:tr>
      <w:tr>
        <w:trPr/>
        <w:tc>
          <w:tcPr>
            <w:tcW w:w="855" w:type="dxa"/>
            <w:noWrap/>
          </w:tcPr>
          <w:p>
            <w:pPr/>
            <w:r>
              <w:rPr>
                <w:sz w:val="22"/>
                <w:szCs w:val="22"/>
              </w:rPr>
              <w:t xml:space="preserve">6</w:t>
            </w:r>
          </w:p>
        </w:tc>
        <w:tc>
          <w:tcPr>
            <w:tcW w:w="2805" w:type="dxa"/>
            <w:noWrap/>
          </w:tcPr>
          <w:p>
            <w:pPr/>
            <w:r>
              <w:rPr>
                <w:sz w:val="22"/>
                <w:szCs w:val="22"/>
              </w:rPr>
              <w:t xml:space="preserve">ΔΕ ΑΠΟΘΗΚΑΡΙΩΝ</w:t>
            </w:r>
          </w:p>
        </w:tc>
        <w:tc>
          <w:tcPr>
            <w:tcW w:w="3795" w:type="dxa"/>
            <w:noWrap/>
          </w:tcPr>
          <w:p>
            <w:pPr/>
            <w:r>
              <w:rPr>
                <w:sz w:val="22"/>
                <w:szCs w:val="22"/>
              </w:rPr>
              <w:t xml:space="preserve">ΔΕ ΑΠΟΘΗΚΑΡΙΩΝ</w:t>
            </w:r>
          </w:p>
        </w:tc>
        <w:tc>
          <w:tcPr>
            <w:tcW w:w="2355" w:type="dxa"/>
            <w:noWrap/>
          </w:tcPr>
          <w:p>
            <w:pPr/>
            <w:r>
              <w:rPr>
                <w:sz w:val="22"/>
                <w:szCs w:val="22"/>
              </w:rPr>
              <w:t xml:space="preserve">2</w:t>
            </w:r>
          </w:p>
        </w:tc>
      </w:tr>
    </w:tbl>
    <w:p>
      <w:pPr>
        <w:jc w:val="both"/>
      </w:pPr>
      <w:r>
        <w:rPr>
          <w:sz w:val="22"/>
          <w:szCs w:val="22"/>
        </w:rPr>
        <w:t xml:space="preserve"> </w:t>
      </w:r>
    </w:p>
    <w:p>
      <w:pPr>
        <w:numPr>
          <w:ilvl w:val="0"/>
          <w:numId w:val="86"/>
        </w:numPr>
      </w:pPr>
      <w:r>
        <w:rPr>
          <w:sz w:val="22"/>
          <w:szCs w:val="22"/>
        </w:rPr>
        <w:t xml:space="preserve">ΚΑΤΗΓΟΡΙΑ Υ.Ε.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jc w:val="both"/>
            </w:pPr>
            <w:r>
              <w:rPr>
                <w:sz w:val="22"/>
                <w:szCs w:val="22"/>
                <w:b w:val="1"/>
                <w:bCs w:val="1"/>
              </w:rPr>
              <w:t xml:space="preserve">ΑΡΙΘΜΟΣ</w:t>
            </w:r>
          </w:p>
          <w:p>
            <w:pPr>
              <w:jc w:val="both"/>
            </w:pPr>
            <w:r>
              <w:rPr>
                <w:sz w:val="22"/>
                <w:szCs w:val="22"/>
                <w:b w:val="1"/>
                <w:bCs w:val="1"/>
              </w:rPr>
              <w:t xml:space="preserve">ΘΕΣΕΩΝ</w:t>
            </w:r>
          </w:p>
        </w:tc>
      </w:tr>
      <w:tr>
        <w:trPr/>
        <w:tc>
          <w:tcPr>
            <w:tcW w:w="855" w:type="dxa"/>
            <w:noWrap/>
          </w:tcPr>
          <w:p>
            <w:pPr/>
            <w:r>
              <w:rPr>
                <w:sz w:val="22"/>
                <w:szCs w:val="22"/>
              </w:rPr>
              <w:t xml:space="preserve">1</w:t>
            </w:r>
          </w:p>
        </w:tc>
        <w:tc>
          <w:tcPr>
            <w:tcW w:w="2805" w:type="dxa"/>
            <w:noWrap/>
          </w:tcPr>
          <w:p>
            <w:pPr/>
            <w:r>
              <w:rPr>
                <w:sz w:val="22"/>
                <w:szCs w:val="22"/>
              </w:rPr>
              <w:t xml:space="preserve">ΥΕ ΦΥΛΑΚΩΝ</w:t>
            </w:r>
          </w:p>
        </w:tc>
        <w:tc>
          <w:tcPr>
            <w:tcW w:w="3795" w:type="dxa"/>
            <w:noWrap/>
          </w:tcPr>
          <w:p>
            <w:pPr/>
            <w:r>
              <w:rPr>
                <w:sz w:val="22"/>
                <w:szCs w:val="22"/>
              </w:rPr>
              <w:t xml:space="preserve">ΥΕ ΦΥΛΑΚΩΝ</w:t>
            </w:r>
          </w:p>
        </w:tc>
        <w:tc>
          <w:tcPr>
            <w:tcW w:w="2355" w:type="dxa"/>
            <w:noWrap/>
          </w:tcPr>
          <w:p>
            <w:pPr/>
            <w:r>
              <w:rPr>
                <w:sz w:val="22"/>
                <w:szCs w:val="22"/>
              </w:rPr>
              <w:t xml:space="preserve">4</w:t>
            </w:r>
          </w:p>
        </w:tc>
      </w:tr>
      <w:tr>
        <w:trPr/>
        <w:tc>
          <w:tcPr>
            <w:tcW w:w="3795" w:type="dxa"/>
            <w:noWrap/>
          </w:tcPr>
          <w:p>
            <w:pPr/>
            <w:r>
              <w:rPr>
                <w:sz w:val="22"/>
                <w:szCs w:val="22"/>
              </w:rPr>
              <w:t xml:space="preserve">ΥΕ ΝΥΧΤΟΦΥΛΑΚΩΝ</w:t>
            </w:r>
          </w:p>
        </w:tc>
        <w:tc>
          <w:tcPr>
            <w:tcW w:w="2355" w:type="dxa"/>
            <w:noWrap/>
          </w:tcPr>
          <w:p>
            <w:pPr/>
            <w:r>
              <w:rPr>
                <w:sz w:val="22"/>
                <w:szCs w:val="22"/>
              </w:rPr>
              <w:t xml:space="preserve">2</w:t>
            </w:r>
          </w:p>
        </w:tc>
      </w:tr>
      <w:tr>
        <w:trPr/>
        <w:tc>
          <w:tcPr>
            <w:tcW w:w="3795" w:type="dxa"/>
            <w:noWrap/>
          </w:tcPr>
          <w:p>
            <w:pPr/>
            <w:r>
              <w:rPr>
                <w:sz w:val="22"/>
                <w:szCs w:val="22"/>
              </w:rPr>
              <w:t xml:space="preserve">ΥΕ ΦΥΛΑΚΩΝ ΝΥΧΤΟΦΥΛΑΚΩΝ</w:t>
            </w:r>
          </w:p>
        </w:tc>
        <w:tc>
          <w:tcPr>
            <w:tcW w:w="2355" w:type="dxa"/>
            <w:noWrap/>
          </w:tcPr>
          <w:p>
            <w:pPr/>
            <w:r>
              <w:rPr>
                <w:sz w:val="22"/>
                <w:szCs w:val="22"/>
              </w:rPr>
              <w:t xml:space="preserve">1</w:t>
            </w:r>
          </w:p>
        </w:tc>
      </w:tr>
      <w:tr>
        <w:trPr/>
        <w:tc>
          <w:tcPr>
            <w:tcW w:w="855" w:type="dxa"/>
            <w:noWrap/>
          </w:tcPr>
          <w:p>
            <w:pPr/>
            <w:r>
              <w:rPr>
                <w:sz w:val="22"/>
                <w:szCs w:val="22"/>
              </w:rPr>
              <w:t xml:space="preserve">2</w:t>
            </w:r>
          </w:p>
        </w:tc>
        <w:tc>
          <w:tcPr>
            <w:tcW w:w="2805" w:type="dxa"/>
            <w:noWrap/>
          </w:tcPr>
          <w:p>
            <w:pPr>
              <w:jc w:val="both"/>
            </w:pPr>
            <w:r>
              <w:rPr>
                <w:sz w:val="22"/>
                <w:szCs w:val="22"/>
              </w:rPr>
              <w:t xml:space="preserve">ΥΕ ΠΡΟΣΩΠΙΚΟΥ ΚΑΘΑΡΙΟΤΗΤΑΣ</w:t>
            </w:r>
          </w:p>
          <w:p>
            <w:pPr>
              <w:jc w:val="both"/>
            </w:pPr>
            <w:r>
              <w:rPr>
                <w:sz w:val="22"/>
                <w:szCs w:val="22"/>
              </w:rPr>
              <w:t xml:space="preserve">ΕΣΩΤΕΡΙΚΩΝ ΧΩΡΩΝ</w:t>
            </w:r>
          </w:p>
        </w:tc>
        <w:tc>
          <w:tcPr>
            <w:tcW w:w="3795" w:type="dxa"/>
            <w:noWrap/>
          </w:tcPr>
          <w:p>
            <w:pPr/>
            <w:r>
              <w:rPr>
                <w:sz w:val="22"/>
                <w:szCs w:val="22"/>
              </w:rPr>
              <w:t xml:space="preserve">ΥΕ ΠΡΟΣΩΠΙΚΟΥ ΚΑΘΑΡΙΟΤΗΤΑΣ ΕΣΩΤΕΡΙΚΩΝ ΧΩΡΩΝ</w:t>
            </w:r>
          </w:p>
        </w:tc>
        <w:tc>
          <w:tcPr>
            <w:tcW w:w="2355" w:type="dxa"/>
            <w:noWrap/>
          </w:tcPr>
          <w:p>
            <w:pPr/>
            <w:r>
              <w:rPr>
                <w:sz w:val="22"/>
                <w:szCs w:val="22"/>
              </w:rPr>
              <w:t xml:space="preserve">1</w:t>
            </w:r>
          </w:p>
        </w:tc>
      </w:tr>
    </w:tbl>
    <w:p>
      <w:pPr>
        <w:jc w:val="both"/>
      </w:pPr>
      <w:r>
        <w:rPr>
          <w:sz w:val="22"/>
          <w:szCs w:val="22"/>
        </w:rPr>
        <w:t xml:space="preserve">».</w:t>
      </w:r>
    </w:p>
    <w:p>
      <w:pPr>
        <w:jc w:val="both"/>
      </w:pPr>
      <w:r>
        <w:rPr>
          <w:sz w:val="22"/>
          <w:szCs w:val="22"/>
        </w:rPr>
        <w:t xml:space="preserve"> </w:t>
      </w:r>
    </w:p>
    <w:p>
      <w:pPr>
        <w:jc w:val="both"/>
      </w:pPr>
      <w:r>
        <w:rPr>
          <w:sz w:val="22"/>
          <w:szCs w:val="22"/>
          <w:b w:val="1"/>
          <w:bCs w:val="1"/>
        </w:rPr>
        <w:t xml:space="preserve">Άρθρο</w:t>
      </w:r>
      <w:r>
        <w:rPr>
          <w:sz w:val="22"/>
          <w:szCs w:val="22"/>
          <w:b w:val="1"/>
          <w:bCs w:val="1"/>
        </w:rPr>
        <w:t xml:space="preserve"> 114</w:t>
      </w:r>
    </w:p>
    <w:p>
      <w:pPr>
        <w:jc w:val="both"/>
      </w:pPr>
      <w:r>
        <w:rPr>
          <w:sz w:val="22"/>
          <w:szCs w:val="22"/>
          <w:b w:val="1"/>
          <w:bCs w:val="1"/>
        </w:rPr>
        <w:t xml:space="preserve">Οργανικές θέσεις προσωπικού ιδιωτικού δικαίου αορίστου χρόνου του νομικού προσώπου δημοσίου δικαίου με την επωνυμία «Εθνική Πινακοθήκη και Μουσείο Αλεξάνδρου Σούτσου» – Τροποποίηση άρθρου 20 ν. 5179/2025</w:t>
      </w:r>
    </w:p>
    <w:p>
      <w:pPr>
        <w:jc w:val="both"/>
      </w:pPr>
      <w:r>
        <w:rPr>
          <w:sz w:val="22"/>
          <w:szCs w:val="22"/>
          <w:b w:val="1"/>
          <w:bCs w:val="1"/>
        </w:rPr>
        <w:t xml:space="preserve"> </w:t>
      </w:r>
    </w:p>
    <w:p>
      <w:pPr>
        <w:jc w:val="both"/>
      </w:pPr>
      <w:r>
        <w:rPr>
          <w:sz w:val="22"/>
          <w:szCs w:val="22"/>
        </w:rPr>
        <w:t xml:space="preserve">Στο άρθρο 20 του ν. 5179/2025 (Α’ 26), περί των οργανικών θέσεων προσωπικού ιδιωτικού δικαίου αορίστου χρόνου του νομικού προσώπου δημοσίου δικαίου με την επωνυμία «Εθνική Πινακοθήκη και Μουσείο Αλεξάνδρου Σούτσου», επέρχονται οι ακόλουθες τροποποιήσεις: α) στο εισαγωγικό εδάφιο οι λέξεις «πενήντα δύο (52)» αντικαθίστανται από τις λέξεις «πενήντα οκτώ (58)», β) στον πίνακα 3 με τίτλο «Κατηγορία Δ.Ε.» ο αριθμός των θέσεων του κλάδου/ειδικότητας ΔΕ ΔΙΟΙΚΗΤΙΚΟΥ-ΛΟΓΙΣΤΙΚΟΥ τροποποιείται από «3» σε «4», γ) στον πίνακα 4 με τίτλο «ΚΑΤΗΓΟΡΙΑ Υ.Ε.» ο αριθμός των θέσεων του κλάδου/ειδικότητας ΥΕ ΦΥΛΑΚΩΝ τροποποιείται από «2» σε «7», και το άρθρο 20 διαμορφώνεται ως εξής:</w:t>
      </w:r>
    </w:p>
    <w:p>
      <w:pPr>
        <w:jc w:val="both"/>
      </w:pPr>
      <w:r>
        <w:rPr>
          <w:sz w:val="22"/>
          <w:szCs w:val="22"/>
        </w:rPr>
        <w:t xml:space="preserve"> </w:t>
      </w:r>
    </w:p>
    <w:p>
      <w:pPr>
        <w:jc w:val="both"/>
      </w:pPr>
      <w:r>
        <w:rPr>
          <w:sz w:val="22"/>
          <w:szCs w:val="22"/>
        </w:rPr>
        <w:t xml:space="preserve">«Άρθρο 20</w:t>
      </w:r>
    </w:p>
    <w:p>
      <w:pPr>
        <w:jc w:val="both"/>
      </w:pPr>
      <w:r>
        <w:rPr>
          <w:sz w:val="22"/>
          <w:szCs w:val="22"/>
        </w:rPr>
        <w:t xml:space="preserve">Οργανικές θέσεις προσωπικού ιδιωτικού δικαίου αορίστου χρόνου</w:t>
      </w:r>
    </w:p>
    <w:p>
      <w:pPr>
        <w:jc w:val="both"/>
      </w:pPr>
      <w:r>
        <w:rPr>
          <w:sz w:val="22"/>
          <w:szCs w:val="22"/>
        </w:rPr>
        <w:t xml:space="preserve"> </w:t>
      </w:r>
    </w:p>
    <w:p>
      <w:pPr>
        <w:jc w:val="both"/>
      </w:pPr>
      <w:r>
        <w:rPr>
          <w:sz w:val="22"/>
          <w:szCs w:val="22"/>
        </w:rPr>
        <w:t xml:space="preserve">Στην Ε.Π.Μ.Α.Σ. συστήνονται πενήντα οκτώ (58) οργανικές θέσεις προσωπικού ιδιωτικού δικαίου αορίστου χρόνου, οι οποίες κατανέμονται κατά κατηγορία, κλάδο και ειδικότητα ως εξής:</w:t>
      </w:r>
    </w:p>
    <w:p>
      <w:pPr>
        <w:jc w:val="both"/>
      </w:pPr>
      <w:r>
        <w:rPr>
          <w:sz w:val="22"/>
          <w:szCs w:val="22"/>
        </w:rPr>
        <w:t xml:space="preserve"> </w:t>
      </w:r>
    </w:p>
    <w:p>
      <w:pPr>
        <w:numPr>
          <w:ilvl w:val="0"/>
          <w:numId w:val="87"/>
        </w:numPr>
      </w:pPr>
      <w:r>
        <w:rPr>
          <w:sz w:val="22"/>
          <w:szCs w:val="22"/>
          <w:b w:val="1"/>
          <w:bCs w:val="1"/>
        </w:rPr>
        <w:t xml:space="preserve">ΚΑΤΗΓΟΡΙΑ Π.Ε.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r>
              <w:rPr>
                <w:sz w:val="22"/>
                <w:szCs w:val="22"/>
                <w:b w:val="1"/>
                <w:bCs w:val="1"/>
              </w:rPr>
              <w:t xml:space="preserve">ΑΡΙΘΜΟΣ ΘΕΣΕΩΝ</w:t>
            </w:r>
          </w:p>
        </w:tc>
      </w:tr>
      <w:tr>
        <w:trPr/>
        <w:tc>
          <w:tcPr>
            <w:tcW w:w="855" w:type="dxa"/>
            <w:noWrap/>
          </w:tcPr>
          <w:p>
            <w:pPr/>
            <w:r>
              <w:rPr>
                <w:sz w:val="22"/>
                <w:szCs w:val="22"/>
              </w:rPr>
              <w:t xml:space="preserve">1</w:t>
            </w:r>
          </w:p>
        </w:tc>
        <w:tc>
          <w:tcPr>
            <w:tcW w:w="2805" w:type="dxa"/>
            <w:noWrap/>
          </w:tcPr>
          <w:p>
            <w:pPr/>
            <w:r>
              <w:rPr>
                <w:sz w:val="22"/>
                <w:szCs w:val="22"/>
              </w:rPr>
              <w:t xml:space="preserve">ΠΕ ΔΙΟΙΚΗΤΙΚΟΥ ΟΙΚΟΝΟΜΙΚΟΥ</w:t>
            </w:r>
          </w:p>
        </w:tc>
        <w:tc>
          <w:tcPr>
            <w:tcW w:w="3795" w:type="dxa"/>
            <w:noWrap/>
          </w:tcPr>
          <w:p>
            <w:pPr/>
            <w:r>
              <w:rPr>
                <w:sz w:val="22"/>
                <w:szCs w:val="22"/>
              </w:rPr>
              <w:t xml:space="preserve">ΠΕ ΔΙΟΙΚΗΤΙΚΟΥ ΟΙΚΟΝΟΜΙΚΟΥ</w:t>
            </w:r>
          </w:p>
        </w:tc>
        <w:tc>
          <w:tcPr>
            <w:tcW w:w="2355" w:type="dxa"/>
            <w:noWrap/>
          </w:tcPr>
          <w:p>
            <w:pPr/>
            <w:r>
              <w:rPr>
                <w:sz w:val="22"/>
                <w:szCs w:val="22"/>
              </w:rPr>
              <w:t xml:space="preserve">8</w:t>
            </w:r>
          </w:p>
        </w:tc>
      </w:tr>
      <w:tr>
        <w:trPr/>
        <w:tc>
          <w:tcPr>
            <w:tcW w:w="855" w:type="dxa"/>
            <w:noWrap/>
          </w:tcPr>
          <w:p>
            <w:pPr/>
            <w:r>
              <w:rPr>
                <w:sz w:val="22"/>
                <w:szCs w:val="22"/>
              </w:rPr>
              <w:t xml:space="preserve">2</w:t>
            </w:r>
          </w:p>
        </w:tc>
        <w:tc>
          <w:tcPr>
            <w:tcW w:w="2805" w:type="dxa"/>
            <w:noWrap/>
          </w:tcPr>
          <w:p>
            <w:pPr/>
            <w:r>
              <w:rPr>
                <w:sz w:val="22"/>
                <w:szCs w:val="22"/>
              </w:rPr>
              <w:t xml:space="preserve">ΠΕ ΙΣΤΟΡΙΚΩΝ</w:t>
            </w:r>
          </w:p>
        </w:tc>
        <w:tc>
          <w:tcPr>
            <w:tcW w:w="3795" w:type="dxa"/>
            <w:noWrap/>
          </w:tcPr>
          <w:p>
            <w:pPr/>
            <w:r>
              <w:rPr>
                <w:sz w:val="22"/>
                <w:szCs w:val="22"/>
              </w:rPr>
              <w:t xml:space="preserve">ΠΕ ΙΣΤΟΡΙΚΩΝ ΤΕΧΝΗΣ</w:t>
            </w:r>
          </w:p>
        </w:tc>
        <w:tc>
          <w:tcPr>
            <w:tcW w:w="2355" w:type="dxa"/>
            <w:noWrap/>
          </w:tcPr>
          <w:p>
            <w:pPr/>
            <w:r>
              <w:rPr>
                <w:sz w:val="22"/>
                <w:szCs w:val="22"/>
              </w:rPr>
              <w:t xml:space="preserve">4</w:t>
            </w:r>
          </w:p>
        </w:tc>
      </w:tr>
      <w:tr>
        <w:trPr/>
        <w:tc>
          <w:tcPr>
            <w:tcW w:w="855" w:type="dxa"/>
            <w:noWrap/>
          </w:tcPr>
          <w:p>
            <w:pPr/>
            <w:r>
              <w:rPr>
                <w:sz w:val="22"/>
                <w:szCs w:val="22"/>
              </w:rPr>
              <w:t xml:space="preserve">3</w:t>
            </w:r>
          </w:p>
        </w:tc>
        <w:tc>
          <w:tcPr>
            <w:tcW w:w="2805" w:type="dxa"/>
            <w:noWrap/>
          </w:tcPr>
          <w:p>
            <w:pPr/>
            <w:r>
              <w:rPr>
                <w:sz w:val="22"/>
                <w:szCs w:val="22"/>
              </w:rPr>
              <w:t xml:space="preserve">ΠΕ ΧΗΜΙΚΩΝ</w:t>
            </w:r>
          </w:p>
        </w:tc>
        <w:tc>
          <w:tcPr>
            <w:tcW w:w="3795" w:type="dxa"/>
            <w:noWrap/>
          </w:tcPr>
          <w:p>
            <w:pPr/>
            <w:r>
              <w:rPr>
                <w:sz w:val="22"/>
                <w:szCs w:val="22"/>
              </w:rPr>
              <w:t xml:space="preserve">ΠΕ ΧΗΜΙΚΩΝ</w:t>
            </w:r>
          </w:p>
        </w:tc>
        <w:tc>
          <w:tcPr>
            <w:tcW w:w="2355" w:type="dxa"/>
            <w:noWrap/>
          </w:tcPr>
          <w:p>
            <w:pPr/>
            <w:r>
              <w:rPr>
                <w:sz w:val="22"/>
                <w:szCs w:val="22"/>
              </w:rPr>
              <w:t xml:space="preserve">1</w:t>
            </w:r>
          </w:p>
        </w:tc>
      </w:tr>
      <w:tr>
        <w:trPr/>
        <w:tc>
          <w:tcPr>
            <w:tcW w:w="855" w:type="dxa"/>
            <w:noWrap/>
          </w:tcPr>
          <w:p>
            <w:pPr/>
            <w:r>
              <w:rPr>
                <w:sz w:val="22"/>
                <w:szCs w:val="22"/>
              </w:rPr>
              <w:t xml:space="preserve">4</w:t>
            </w:r>
          </w:p>
        </w:tc>
        <w:tc>
          <w:tcPr>
            <w:tcW w:w="2805" w:type="dxa"/>
            <w:noWrap/>
          </w:tcPr>
          <w:p>
            <w:pPr/>
            <w:r>
              <w:rPr>
                <w:sz w:val="22"/>
                <w:szCs w:val="22"/>
              </w:rPr>
              <w:t xml:space="preserve">ΠΕ ΣΥΝΤΗΡΗΤΩΝ ΑΡΧΑΙΟΤΗΤΩΝ ΚΑΙ ΕΡΓΩΝ ΤΕΧΝΗΣ</w:t>
            </w:r>
          </w:p>
        </w:tc>
        <w:tc>
          <w:tcPr>
            <w:tcW w:w="3795" w:type="dxa"/>
            <w:noWrap/>
          </w:tcPr>
          <w:p>
            <w:pPr/>
            <w:r>
              <w:rPr>
                <w:sz w:val="22"/>
                <w:szCs w:val="22"/>
              </w:rPr>
              <w:t xml:space="preserve">ΠΕ ΣΥΝΤΗΡΗΤΩΝ ΑΡΧΑΙΟΤΗΤΩΝ ΚΑΙ ΕΡΓΩΝ ΤΕΧΝΗΣ</w:t>
            </w:r>
          </w:p>
        </w:tc>
        <w:tc>
          <w:tcPr>
            <w:tcW w:w="2355" w:type="dxa"/>
            <w:noWrap/>
          </w:tcPr>
          <w:p>
            <w:pPr/>
            <w:r>
              <w:rPr>
                <w:sz w:val="22"/>
                <w:szCs w:val="22"/>
              </w:rPr>
              <w:t xml:space="preserve">2</w:t>
            </w:r>
          </w:p>
        </w:tc>
      </w:tr>
      <w:tr>
        <w:trPr/>
        <w:tc>
          <w:tcPr>
            <w:tcW w:w="855" w:type="dxa"/>
            <w:noWrap/>
          </w:tcPr>
          <w:p>
            <w:pPr/>
            <w:r>
              <w:rPr>
                <w:sz w:val="22"/>
                <w:szCs w:val="22"/>
              </w:rPr>
              <w:t xml:space="preserve">5</w:t>
            </w:r>
          </w:p>
        </w:tc>
        <w:tc>
          <w:tcPr>
            <w:tcW w:w="2805" w:type="dxa"/>
            <w:noWrap/>
          </w:tcPr>
          <w:p>
            <w:pPr/>
            <w:r>
              <w:rPr>
                <w:sz w:val="22"/>
                <w:szCs w:val="22"/>
              </w:rPr>
              <w:t xml:space="preserve">ΠΕ ΚΑΛΩΝ ΤΕΧΝΩΝ</w:t>
            </w:r>
          </w:p>
        </w:tc>
        <w:tc>
          <w:tcPr>
            <w:tcW w:w="3795" w:type="dxa"/>
            <w:noWrap/>
          </w:tcPr>
          <w:p>
            <w:pPr/>
            <w:r>
              <w:rPr>
                <w:sz w:val="22"/>
                <w:szCs w:val="22"/>
              </w:rPr>
              <w:t xml:space="preserve">ΠΕ ΚΑΛΩΝ ΤΕΧΝΩΝ</w:t>
            </w:r>
          </w:p>
        </w:tc>
        <w:tc>
          <w:tcPr>
            <w:tcW w:w="2355" w:type="dxa"/>
            <w:noWrap/>
          </w:tcPr>
          <w:p>
            <w:pPr/>
            <w:r>
              <w:rPr>
                <w:sz w:val="22"/>
                <w:szCs w:val="22"/>
              </w:rPr>
              <w:t xml:space="preserve">1</w:t>
            </w:r>
          </w:p>
        </w:tc>
      </w:tr>
      <w:tr>
        <w:trPr/>
        <w:tc>
          <w:tcPr>
            <w:tcW w:w="855" w:type="dxa"/>
            <w:noWrap/>
          </w:tcPr>
          <w:p>
            <w:pPr/>
            <w:r>
              <w:rPr>
                <w:sz w:val="22"/>
                <w:szCs w:val="22"/>
              </w:rPr>
              <w:t xml:space="preserve">6</w:t>
            </w:r>
          </w:p>
        </w:tc>
        <w:tc>
          <w:tcPr>
            <w:tcW w:w="2805" w:type="dxa"/>
            <w:noWrap/>
          </w:tcPr>
          <w:p>
            <w:pPr/>
            <w:r>
              <w:rPr>
                <w:sz w:val="22"/>
                <w:szCs w:val="22"/>
              </w:rPr>
              <w:t xml:space="preserve">ΠΕ ΑΡΧΕΙΟΝΟΜΩΝ ΚΑΙ ΒΙΒΛΙΟΘΗΚΟΝΟΜΩΝ</w:t>
            </w:r>
          </w:p>
        </w:tc>
        <w:tc>
          <w:tcPr>
            <w:tcW w:w="3795" w:type="dxa"/>
            <w:noWrap/>
          </w:tcPr>
          <w:p>
            <w:pPr/>
            <w:r>
              <w:rPr>
                <w:sz w:val="22"/>
                <w:szCs w:val="22"/>
              </w:rPr>
              <w:t xml:space="preserve">ΠΕ ΑΡΧΕΙΟΝΟΜΩΝ</w:t>
            </w:r>
          </w:p>
        </w:tc>
        <w:tc>
          <w:tcPr>
            <w:tcW w:w="2355" w:type="dxa"/>
            <w:noWrap/>
          </w:tcPr>
          <w:p>
            <w:pPr/>
            <w:r>
              <w:rPr>
                <w:sz w:val="22"/>
                <w:szCs w:val="22"/>
              </w:rPr>
              <w:t xml:space="preserve">1</w:t>
            </w:r>
          </w:p>
        </w:tc>
      </w:tr>
    </w:tbl>
    <w:p>
      <w:pPr>
        <w:jc w:val="both"/>
      </w:pPr>
      <w:r>
        <w:rPr>
          <w:sz w:val="22"/>
          <w:szCs w:val="22"/>
          <w:b w:val="1"/>
          <w:bCs w:val="1"/>
        </w:rPr>
        <w:t xml:space="preserve"> </w:t>
      </w:r>
    </w:p>
    <w:p>
      <w:pPr>
        <w:numPr>
          <w:ilvl w:val="0"/>
          <w:numId w:val="88"/>
        </w:numPr>
      </w:pPr>
      <w:r>
        <w:rPr>
          <w:sz w:val="22"/>
          <w:szCs w:val="22"/>
          <w:b w:val="1"/>
          <w:bCs w:val="1"/>
        </w:rPr>
        <w:t xml:space="preserve">ΚΑΤΗΓΟΡΙΑ Τ.Ε.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r>
              <w:rPr>
                <w:sz w:val="22"/>
                <w:szCs w:val="22"/>
                <w:b w:val="1"/>
                <w:bCs w:val="1"/>
              </w:rPr>
              <w:t xml:space="preserve">ΑΡΙΘΜΟΣ ΘΕΣΕΩΝ</w:t>
            </w:r>
          </w:p>
        </w:tc>
      </w:tr>
      <w:tr>
        <w:trPr/>
        <w:tc>
          <w:tcPr>
            <w:tcW w:w="855" w:type="dxa"/>
            <w:noWrap/>
          </w:tcPr>
          <w:p>
            <w:pPr/>
            <w:r>
              <w:rPr>
                <w:sz w:val="22"/>
                <w:szCs w:val="22"/>
              </w:rPr>
              <w:t xml:space="preserve">1</w:t>
            </w:r>
          </w:p>
        </w:tc>
        <w:tc>
          <w:tcPr>
            <w:tcW w:w="2805" w:type="dxa"/>
            <w:noWrap/>
          </w:tcPr>
          <w:p>
            <w:pPr/>
            <w:r>
              <w:rPr>
                <w:sz w:val="22"/>
                <w:szCs w:val="22"/>
              </w:rPr>
              <w:t xml:space="preserve">ΤΕ ΣΥΝΤΗΡΗΤΩΝ ΑΡΧΑΙΟΤΗΤΩΝ ΚΑΙ ΕΡΓΩΝ ΤΕΧΝΗΣ</w:t>
            </w:r>
          </w:p>
        </w:tc>
        <w:tc>
          <w:tcPr>
            <w:tcW w:w="3795" w:type="dxa"/>
            <w:noWrap/>
          </w:tcPr>
          <w:p>
            <w:pPr/>
            <w:r>
              <w:rPr>
                <w:sz w:val="22"/>
                <w:szCs w:val="22"/>
              </w:rPr>
              <w:t xml:space="preserve">ΤΕ ΣΥΝΤΗΡΗΤΩΝ ΑΡΧΑΙΟΤΗΤΩΝ ΚΑΙ ΕΡΓΩΝ ΤΕΧΝΗΣ</w:t>
            </w:r>
          </w:p>
        </w:tc>
        <w:tc>
          <w:tcPr>
            <w:tcW w:w="2355" w:type="dxa"/>
            <w:noWrap/>
          </w:tcPr>
          <w:p>
            <w:pPr/>
            <w:r>
              <w:rPr>
                <w:sz w:val="22"/>
                <w:szCs w:val="22"/>
              </w:rPr>
              <w:t xml:space="preserve">6</w:t>
            </w:r>
          </w:p>
        </w:tc>
      </w:tr>
      <w:tr>
        <w:trPr/>
        <w:tc>
          <w:tcPr>
            <w:tcW w:w="855" w:type="dxa"/>
            <w:noWrap/>
          </w:tcPr>
          <w:p>
            <w:pPr/>
            <w:r>
              <w:rPr>
                <w:sz w:val="22"/>
                <w:szCs w:val="22"/>
              </w:rPr>
              <w:t xml:space="preserve">2</w:t>
            </w:r>
          </w:p>
        </w:tc>
        <w:tc>
          <w:tcPr>
            <w:tcW w:w="2805" w:type="dxa"/>
            <w:noWrap/>
          </w:tcPr>
          <w:p>
            <w:pPr/>
            <w:r>
              <w:rPr>
                <w:sz w:val="22"/>
                <w:szCs w:val="22"/>
              </w:rPr>
              <w:t xml:space="preserve">ΤΕ ΒΙΒΛΙΟΘΗΚΟΝΟΜΙΑΣ</w:t>
            </w:r>
          </w:p>
        </w:tc>
        <w:tc>
          <w:tcPr>
            <w:tcW w:w="3795" w:type="dxa"/>
            <w:noWrap/>
          </w:tcPr>
          <w:p>
            <w:pPr/>
            <w:r>
              <w:rPr>
                <w:sz w:val="22"/>
                <w:szCs w:val="22"/>
              </w:rPr>
              <w:t xml:space="preserve">ΤΕ ΒΙΒΛΙΟΘΗΚΟΝΟΜΙΑΣ</w:t>
            </w:r>
          </w:p>
        </w:tc>
        <w:tc>
          <w:tcPr>
            <w:tcW w:w="2355" w:type="dxa"/>
            <w:noWrap/>
          </w:tcPr>
          <w:p>
            <w:pPr/>
            <w:r>
              <w:rPr>
                <w:sz w:val="22"/>
                <w:szCs w:val="22"/>
              </w:rPr>
              <w:t xml:space="preserve">1</w:t>
            </w:r>
          </w:p>
        </w:tc>
      </w:tr>
    </w:tbl>
    <w:p>
      <w:pPr>
        <w:jc w:val="both"/>
      </w:pPr>
      <w:r>
        <w:rPr>
          <w:sz w:val="22"/>
          <w:szCs w:val="22"/>
          <w:b w:val="1"/>
          <w:bCs w:val="1"/>
        </w:rPr>
        <w:t xml:space="preserve"> </w:t>
      </w:r>
    </w:p>
    <w:p>
      <w:pPr>
        <w:numPr>
          <w:ilvl w:val="0"/>
          <w:numId w:val="89"/>
        </w:numPr>
      </w:pPr>
      <w:r>
        <w:rPr>
          <w:sz w:val="22"/>
          <w:szCs w:val="22"/>
          <w:b w:val="1"/>
          <w:bCs w:val="1"/>
        </w:rPr>
        <w:t xml:space="preserve">ΚΑΤΗΓΟΡΙΑ Δ.Ε.</w:t>
      </w:r>
    </w:p>
    <w:tbl>
      <w:tblGrid>
        <w:gridCol w:w="855" w:type="dxa"/>
        <w:gridCol w:w="2805" w:type="dxa"/>
        <w:gridCol w:w="3795" w:type="dxa"/>
        <w:gridCol w:w="2355" w:type="dxa"/>
      </w:tblGrid>
      <w:tblPr>
        <w:tblW w:w="9795" w:type="dxa"/>
        <w:tblLayout w:type="autofit"/>
        <w:tblBorders>
          <w:top w:val="single" w:sz="15"/>
          <w:left w:val="single" w:sz="15"/>
          <w:right w:val="single" w:sz="15"/>
          <w:bottom w:val="single" w:sz="15"/>
          <w:insideH w:val="single" w:sz="15"/>
          <w:insideV w:val="single" w:sz="15"/>
        </w:tblBorders>
      </w:tblPr>
      <w:tr>
        <w:trPr/>
        <w:tc>
          <w:tcPr>
            <w:tcW w:w="855" w:type="dxa"/>
            <w:noWrap/>
          </w:tcPr>
          <w:p>
            <w:pPr/>
            <w:r>
              <w:rPr>
                <w:sz w:val="22"/>
                <w:szCs w:val="22"/>
                <w:b w:val="1"/>
                <w:bCs w:val="1"/>
              </w:rPr>
              <w:t xml:space="preserve">Α/Α</w:t>
            </w:r>
          </w:p>
        </w:tc>
        <w:tc>
          <w:tcPr>
            <w:tcW w:w="2805" w:type="dxa"/>
            <w:noWrap/>
          </w:tcPr>
          <w:p>
            <w:pPr/>
            <w:r>
              <w:rPr>
                <w:sz w:val="22"/>
                <w:szCs w:val="22"/>
                <w:b w:val="1"/>
                <w:bCs w:val="1"/>
              </w:rPr>
              <w:t xml:space="preserve">ΚΛΑΔΟΣ</w:t>
            </w:r>
          </w:p>
        </w:tc>
        <w:tc>
          <w:tcPr>
            <w:tcW w:w="3795" w:type="dxa"/>
            <w:noWrap/>
          </w:tcPr>
          <w:p>
            <w:pPr/>
            <w:r>
              <w:rPr>
                <w:sz w:val="22"/>
                <w:szCs w:val="22"/>
                <w:b w:val="1"/>
                <w:bCs w:val="1"/>
              </w:rPr>
              <w:t xml:space="preserve">ΕΙΔΙΚΟΤΗΤΑ</w:t>
            </w:r>
          </w:p>
        </w:tc>
        <w:tc>
          <w:tcPr>
            <w:tcW w:w="2355" w:type="dxa"/>
            <w:noWrap/>
          </w:tcPr>
          <w:p>
            <w:pPr/>
            <w:r>
              <w:rPr>
                <w:sz w:val="22"/>
                <w:szCs w:val="22"/>
                <w:b w:val="1"/>
                <w:bCs w:val="1"/>
              </w:rPr>
              <w:t xml:space="preserve">ΑΡΙΘΜΟΣ ΘΕΣΕΩΝ</w:t>
            </w:r>
          </w:p>
        </w:tc>
      </w:tr>
      <w:tr>
        <w:trPr/>
        <w:tc>
          <w:tcPr>
            <w:tcW w:w="855" w:type="dxa"/>
            <w:noWrap/>
          </w:tcPr>
          <w:p>
            <w:pPr/>
            <w:r>
              <w:rPr>
                <w:sz w:val="22"/>
                <w:szCs w:val="22"/>
              </w:rPr>
              <w:t xml:space="preserve">1</w:t>
            </w:r>
          </w:p>
        </w:tc>
        <w:tc>
          <w:tcPr>
            <w:tcW w:w="2805" w:type="dxa"/>
            <w:noWrap/>
          </w:tcPr>
          <w:p>
            <w:pPr/>
            <w:r>
              <w:rPr>
                <w:sz w:val="22"/>
                <w:szCs w:val="22"/>
              </w:rPr>
              <w:t xml:space="preserve">ΔΕ ΔΙΟΙΚΗΤΙΚΟΥ ΛΟΓΙΣΤΙΚΟΥ</w:t>
            </w:r>
          </w:p>
        </w:tc>
        <w:tc>
          <w:tcPr>
            <w:tcW w:w="3795" w:type="dxa"/>
            <w:noWrap/>
          </w:tcPr>
          <w:p>
            <w:pPr/>
            <w:r>
              <w:rPr>
                <w:sz w:val="22"/>
                <w:szCs w:val="22"/>
              </w:rPr>
              <w:t xml:space="preserve">ΔΕ ΔΙΟΙΚΗΤΙΚΟΥ-ΛΟΓΙΣΤΙΚΟΥ</w:t>
            </w:r>
          </w:p>
        </w:tc>
        <w:tc>
          <w:tcPr>
            <w:tcW w:w="2355" w:type="dxa"/>
            <w:noWrap/>
          </w:tcPr>
          <w:p>
            <w:pPr/>
            <w:r>
              <w:rPr>
                <w:sz w:val="22"/>
                <w:szCs w:val="22"/>
              </w:rPr>
              <w:t xml:space="preserve">4</w:t>
            </w:r>
          </w:p>
        </w:tc>
      </w:tr>
      <w:tr>
        <w:trPr/>
        <w:tc>
          <w:tcPr>
            <w:tcW w:w="855" w:type="dxa"/>
            <w:noWrap/>
          </w:tcPr>
          <w:p>
            <w:pPr/>
            <w:r>
              <w:rPr>
                <w:sz w:val="22"/>
                <w:szCs w:val="22"/>
              </w:rPr>
              <w:t xml:space="preserve">2</w:t>
            </w:r>
          </w:p>
        </w:tc>
        <w:tc>
          <w:tcPr>
            <w:tcW w:w="2805" w:type="dxa"/>
            <w:noWrap/>
          </w:tcPr>
          <w:p>
            <w:pPr/>
            <w:r>
              <w:rPr>
                <w:sz w:val="22"/>
                <w:szCs w:val="22"/>
              </w:rPr>
              <w:t xml:space="preserve">ΔΕ ΣΥΝΤΗΡΗΤΩΝ ΑΡΧΑΙΟΤΗΤΩΝ ΚΑΙ ΕΡΓΩΝ ΤΕΧΝΗΣ</w:t>
            </w:r>
          </w:p>
        </w:tc>
        <w:tc>
          <w:tcPr>
            <w:tcW w:w="3795" w:type="dxa"/>
            <w:noWrap/>
          </w:tcPr>
          <w:p>
            <w:pPr/>
            <w:r>
              <w:rPr>
                <w:sz w:val="22"/>
                <w:szCs w:val="22"/>
              </w:rPr>
              <w:t xml:space="preserve">ΔΕ ΣΥΝΤΗΡΗΤΩΝ ΑΡΧΑΙΟΤΗΤΩΝ ΚΑΙ ΕΡΓΩΝ ΤΕΧΝΗΣ</w:t>
            </w:r>
          </w:p>
        </w:tc>
        <w:tc>
          <w:tcPr>
            <w:tcW w:w="2355" w:type="dxa"/>
            <w:noWrap/>
          </w:tcPr>
          <w:p>
            <w:pPr/>
            <w:r>
              <w:rPr>
                <w:sz w:val="22"/>
                <w:szCs w:val="22"/>
              </w:rPr>
              <w:t xml:space="preserve">1</w:t>
            </w:r>
          </w:p>
        </w:tc>
      </w:tr>
      <w:tr>
        <w:trPr/>
        <w:tc>
          <w:tcPr>
            <w:tcW w:w="855" w:type="dxa"/>
            <w:noWrap/>
          </w:tcPr>
          <w:p>
            <w:pPr/>
            <w:r>
              <w:rPr>
                <w:sz w:val="22"/>
                <w:szCs w:val="22"/>
              </w:rPr>
              <w:t xml:space="preserve">3</w:t>
            </w:r>
          </w:p>
        </w:tc>
        <w:tc>
          <w:tcPr>
            <w:tcW w:w="2805" w:type="dxa"/>
            <w:noWrap/>
          </w:tcPr>
          <w:p>
            <w:pPr/>
            <w:r>
              <w:rPr>
                <w:sz w:val="22"/>
                <w:szCs w:val="22"/>
              </w:rPr>
              <w:t xml:space="preserve">ΔΕ ΦΥΛΑΚΩΝ</w:t>
            </w:r>
          </w:p>
        </w:tc>
        <w:tc>
          <w:tcPr>
            <w:tcW w:w="3795" w:type="dxa"/>
            <w:noWrap/>
          </w:tcPr>
          <w:p>
            <w:pPr/>
            <w:r>
              <w:rPr>
                <w:sz w:val="22"/>
                <w:szCs w:val="22"/>
              </w:rPr>
              <w:t xml:space="preserve">ΔΕ ΦΥΛΑΚΩΝ</w:t>
            </w:r>
          </w:p>
        </w:tc>
        <w:tc>
          <w:tcPr>
            <w:tcW w:w="2355" w:type="dxa"/>
            <w:noWrap/>
          </w:tcPr>
          <w:p>
            <w:pPr/>
            <w:r>
              <w:rPr>
                <w:sz w:val="22"/>
                <w:szCs w:val="22"/>
              </w:rPr>
              <w:t xml:space="preserve">20</w:t>
            </w:r>
          </w:p>
        </w:tc>
      </w:tr>
      <w:tr>
        <w:trPr/>
        <w:tc>
          <w:tcPr>
            <w:tcW w:w="3795" w:type="dxa"/>
            <w:noWrap/>
          </w:tcPr>
          <w:p>
            <w:pPr/>
            <w:r>
              <w:rPr>
                <w:sz w:val="22"/>
                <w:szCs w:val="22"/>
              </w:rPr>
              <w:t xml:space="preserve">ΔΕ ΝΥΧΤΟΦΥΛΑΚΩΝ</w:t>
            </w:r>
          </w:p>
        </w:tc>
        <w:tc>
          <w:tcPr>
            <w:tcW w:w="2355" w:type="dxa"/>
            <w:noWrap/>
          </w:tcPr>
          <w:p>
            <w:pPr/>
            <w:r>
              <w:rPr>
                <w:sz w:val="22"/>
                <w:szCs w:val="22"/>
              </w:rPr>
              <w:t xml:space="preserve">2</w:t>
            </w:r>
          </w:p>
        </w:tc>
      </w:tr>
    </w:tbl>
    <w:p>
      <w:pPr>
        <w:jc w:val="both"/>
      </w:pPr>
      <w:r>
        <w:rPr>
          <w:sz w:val="22"/>
          <w:szCs w:val="22"/>
          <w:b w:val="1"/>
          <w:bCs w:val="1"/>
        </w:rPr>
        <w:t xml:space="preserve"> </w:t>
      </w:r>
    </w:p>
    <w:p>
      <w:pPr>
        <w:numPr>
          <w:ilvl w:val="0"/>
          <w:numId w:val="90"/>
        </w:numPr>
      </w:pPr>
      <w:r>
        <w:rPr>
          <w:sz w:val="22"/>
          <w:szCs w:val="22"/>
          <w:b w:val="1"/>
          <w:bCs w:val="1"/>
        </w:rPr>
        <w:t xml:space="preserve">ΚΑΤΗΓΟΡΙΑ Υ.Ε.</w:t>
      </w:r>
    </w:p>
    <w:tbl>
      <w:tblGrid>
        <w:gridCol w:w="3600" w:type="dxa"/>
        <w:gridCol w:w="4305" w:type="dxa"/>
        <w:gridCol w:w="1905" w:type="dxa"/>
      </w:tblGrid>
      <w:tblPr>
        <w:tblW w:w="9795" w:type="dxa"/>
        <w:tblLayout w:type="autofit"/>
        <w:tblBorders>
          <w:top w:val="single" w:sz="15"/>
          <w:left w:val="single" w:sz="15"/>
          <w:right w:val="single" w:sz="15"/>
          <w:bottom w:val="single" w:sz="15"/>
          <w:insideH w:val="single" w:sz="15"/>
          <w:insideV w:val="single" w:sz="15"/>
        </w:tblBorders>
      </w:tblPr>
      <w:tr>
        <w:trPr/>
        <w:tc>
          <w:tcPr>
            <w:tcW w:w="3600" w:type="dxa"/>
            <w:noWrap/>
          </w:tcPr>
          <w:p>
            <w:pPr/>
            <w:r>
              <w:rPr>
                <w:sz w:val="22"/>
                <w:szCs w:val="22"/>
                <w:b w:val="1"/>
                <w:bCs w:val="1"/>
              </w:rPr>
              <w:t xml:space="preserve">ΚΛΑΔΟΣ</w:t>
            </w:r>
          </w:p>
        </w:tc>
        <w:tc>
          <w:tcPr>
            <w:tcW w:w="4305" w:type="dxa"/>
            <w:noWrap/>
          </w:tcPr>
          <w:p>
            <w:pPr/>
            <w:r>
              <w:rPr>
                <w:sz w:val="22"/>
                <w:szCs w:val="22"/>
                <w:b w:val="1"/>
                <w:bCs w:val="1"/>
              </w:rPr>
              <w:t xml:space="preserve">ΕΙΔΙΚΟΤΗΤΑ</w:t>
            </w:r>
          </w:p>
        </w:tc>
        <w:tc>
          <w:tcPr>
            <w:tcW w:w="1905" w:type="dxa"/>
            <w:noWrap/>
          </w:tcPr>
          <w:p>
            <w:pPr/>
            <w:r>
              <w:rPr>
                <w:sz w:val="22"/>
                <w:szCs w:val="22"/>
                <w:b w:val="1"/>
                <w:bCs w:val="1"/>
              </w:rPr>
              <w:t xml:space="preserve">ΑΡΙΘΜΟΣ ΘΕΣΕΩΝ</w:t>
            </w:r>
          </w:p>
        </w:tc>
      </w:tr>
      <w:tr>
        <w:trPr/>
        <w:tc>
          <w:tcPr>
            <w:tcW w:w="3600" w:type="dxa"/>
            <w:noWrap/>
          </w:tcPr>
          <w:p>
            <w:pPr/>
            <w:r>
              <w:rPr>
                <w:sz w:val="22"/>
                <w:szCs w:val="22"/>
              </w:rPr>
              <w:t xml:space="preserve">ΥΕ ΦΥΛΑΚΩΝ</w:t>
            </w:r>
          </w:p>
        </w:tc>
        <w:tc>
          <w:tcPr>
            <w:tcW w:w="4305" w:type="dxa"/>
            <w:noWrap/>
          </w:tcPr>
          <w:p>
            <w:pPr/>
            <w:r>
              <w:rPr>
                <w:sz w:val="22"/>
                <w:szCs w:val="22"/>
              </w:rPr>
              <w:t xml:space="preserve">ΥΕ ΦΥΛΑΚΩΝ</w:t>
            </w:r>
          </w:p>
        </w:tc>
        <w:tc>
          <w:tcPr>
            <w:tcW w:w="1905" w:type="dxa"/>
            <w:noWrap/>
          </w:tcPr>
          <w:p>
            <w:pPr/>
            <w:r>
              <w:rPr>
                <w:sz w:val="22"/>
                <w:szCs w:val="22"/>
              </w:rPr>
              <w:t xml:space="preserve">7</w:t>
            </w:r>
          </w:p>
        </w:tc>
      </w:tr>
    </w:tbl>
    <w:p>
      <w:pPr>
        <w:jc w:val="both"/>
      </w:pPr>
      <w:r>
        <w:rPr>
          <w:sz w:val="22"/>
          <w:szCs w:val="22"/>
        </w:rPr>
        <w:t xml:space="preserve">».</w:t>
      </w:r>
    </w:p>
    <w:p>
      <w:pPr>
        <w:jc w:val="both"/>
      </w:pPr>
      <w:r>
        <w:rPr>
          <w:sz w:val="22"/>
          <w:szCs w:val="22"/>
        </w:rPr>
        <w:t xml:space="preserve"> </w:t>
      </w:r>
    </w:p>
    <w:p>
      <w:pPr>
        <w:jc w:val="both"/>
      </w:pPr>
      <w:r>
        <w:rPr>
          <w:sz w:val="22"/>
          <w:szCs w:val="22"/>
          <w:b w:val="1"/>
          <w:bCs w:val="1"/>
        </w:rPr>
        <w:t xml:space="preserve"> </w:t>
      </w:r>
    </w:p>
    <w:p>
      <w:pPr>
        <w:jc w:val="both"/>
      </w:pPr>
      <w:r>
        <w:rPr>
          <w:sz w:val="22"/>
          <w:szCs w:val="22"/>
          <w:b w:val="1"/>
          <w:bCs w:val="1"/>
        </w:rPr>
        <w:t xml:space="preserve">ΚΕΦΑΛΑΙΟ Δ’</w:t>
      </w:r>
    </w:p>
    <w:p>
      <w:pPr>
        <w:jc w:val="both"/>
      </w:pPr>
      <w:r>
        <w:rPr>
          <w:sz w:val="22"/>
          <w:szCs w:val="22"/>
          <w:b w:val="1"/>
          <w:bCs w:val="1"/>
        </w:rPr>
        <w:t xml:space="preserve">ΡΥΘΜΙΣΕΙΣ ΓΙΑ ΤΗ ΛΕΙΤΟΥΡΓΙΑ ΤΟΥ ΟΡΓΑΝΙΣΜΟΥ ΠΝΕΥΜΑΤΙΚΗΣ ΙΔΙΟΚΤΗΣΙΑΣ, ΖΗΤΗΜΑΤΩΝ ΤΩΝ ΟΡΓΑΝΙΣΜΩΝ ΣΥΛΛΟΓΙΚΗΣ ΔΙΑΧΕΙΡΙΣΗΣ ΠΝΕΥΜΑΤΙΚΩΝ ΚΑΙ ΣΥΓΓΕΝΙΚΩΝ ΔΙΚΑΙΩΜΑΤΩΝ ΚΑΙ ΓΙΑ ΤΗΝ ΕΝΕΡΓΗΤΙΚΗ ΝΟΜΙΜΟΠΟΙΗΣΗ ΤΟΥ ΣΥΝΔΙΚΟΥ ΠΤΩΧΕΥΣΗΣ ΚΑΙ ΤΗΣ ΔΙΑΝΟΜΗΣ ΤΩΝ ΔΙΚΑΙΩΜΑΤΩΝ ΣΤΟΥΣ ΔΙΚΑΙΟΥΧΟΥΣ ΔΗΜΙΟΥΡΓΟΥΣ ΤΗΣ ΠΡΩΗΝ Α.Ο.Δ. ΤΟΥ ΑΡΘΡΟΥ 50 ΤΟΥ Ν. 4481/2017 ΜΕ ΤΗΝ ΕΠΩΝΥΜΙΑ «ΑΕΠΙ – ΕΛΛΗΝΙΚΗ ΕΤΑΙΡΕΙΑ ΠΡΟΣ ΠΡΟΣΤΑΣΙΑΝ ΤΗΣ ΠΝΕΥΜΑΤΙΚΗΣ ΙΔΙΟΚΤΗΣΙΑΣ Α.Ε.»</w:t>
      </w:r>
    </w:p>
    <w:p>
      <w:pPr>
        <w:jc w:val="both"/>
      </w:pPr>
      <w:r>
        <w:rPr>
          <w:sz w:val="22"/>
          <w:szCs w:val="22"/>
          <w:b w:val="1"/>
          <w:bCs w:val="1"/>
        </w:rPr>
        <w:t xml:space="preserve"> </w:t>
      </w:r>
    </w:p>
    <w:p>
      <w:pPr>
        <w:jc w:val="both"/>
      </w:pPr>
      <w:r>
        <w:rPr>
          <w:sz w:val="22"/>
          <w:szCs w:val="22"/>
          <w:b w:val="1"/>
          <w:bCs w:val="1"/>
        </w:rPr>
        <w:t xml:space="preserve">Άρθρο 115</w:t>
      </w:r>
    </w:p>
    <w:p>
      <w:pPr>
        <w:jc w:val="both"/>
      </w:pPr>
      <w:r>
        <w:rPr>
          <w:sz w:val="22"/>
          <w:szCs w:val="22"/>
          <w:b w:val="1"/>
          <w:bCs w:val="1"/>
        </w:rPr>
        <w:t xml:space="preserve">Προσωρινός προσδιορισμός εύλογης αμοιβής του άρθρου 49 του ν. 2121/1993 – Τροποποίηση παρ. 7 άρθρου 22 ν. 4481/2017</w:t>
      </w:r>
    </w:p>
    <w:p>
      <w:pPr>
        <w:jc w:val="both"/>
      </w:pPr>
      <w:r>
        <w:rPr>
          <w:sz w:val="22"/>
          <w:szCs w:val="22"/>
          <w:b w:val="1"/>
          <w:bCs w:val="1"/>
        </w:rPr>
        <w:t xml:space="preserve">(παρ. 1 άρθρου 35 Οδηγίας 2014/26/ΕΕ)</w:t>
      </w:r>
    </w:p>
    <w:p>
      <w:pPr>
        <w:jc w:val="both"/>
      </w:pPr>
      <w:r>
        <w:rPr>
          <w:sz w:val="22"/>
          <w:szCs w:val="22"/>
          <w:b w:val="1"/>
          <w:bCs w:val="1"/>
        </w:rPr>
        <w:t xml:space="preserve"> </w:t>
      </w:r>
    </w:p>
    <w:p>
      <w:pPr>
        <w:jc w:val="both"/>
      </w:pPr>
      <w:r>
        <w:rPr>
          <w:sz w:val="22"/>
          <w:szCs w:val="22"/>
        </w:rPr>
        <w:t xml:space="preserve">Στο πρώτο εδάφιο της παρ. 7 του άρθρου 22 του ν. 4481/2017 (Α’ 100), περί διαφωνίας μεταξύ χρήστη και οργανισμού συλλογικής διαχείρισης ως προς το ύψος της εύλογης αμοιβής, οι λέξεις «της εύλογης αμοιβής του άρθρου 49 του ν. 2121/1993» αντικαθίστανται από τις λέξεις «της εύλογης αμοιβής για την ήδη πραγματοποιηθείσα με οποιονδήποτε τρόπο ραδιοτηλεοπτική μετάδοση ή παρουσίαση στο κοινό, που προβλέπεται στο άρθρο 49 του ν. 2121/1993» και η παρ. 7 διαμορφώνεται ως εξής:</w:t>
      </w:r>
    </w:p>
    <w:p>
      <w:pPr>
        <w:jc w:val="both"/>
      </w:pPr>
      <w:r>
        <w:rPr>
          <w:sz w:val="22"/>
          <w:szCs w:val="22"/>
        </w:rPr>
        <w:t xml:space="preserve"> </w:t>
      </w:r>
    </w:p>
    <w:p>
      <w:pPr>
        <w:jc w:val="both"/>
      </w:pPr>
      <w:r>
        <w:rPr>
          <w:sz w:val="22"/>
          <w:szCs w:val="22"/>
        </w:rPr>
        <w:t xml:space="preserve">«7. Σε περίπτωση διαφωνίας μεταξύ χρήστη και οργανισμού συλλογικής διαχείρισης ως προς το ύψος της εύλογης αμοιβής για την ήδη πραγματοποιηθείσα με οποιονδήποτε τρόπο ραδιοτηλεοπτική μετάδοση ή παρουσίαση στο κοινό, που προβλέπεται στο άρθρο 49 του ν. 2121/1993 και τους όρους πληρωμής της, το Μονομελές Πρωτοδικείο, που δικάζει κατά τη διαδικασία των ασφαλιστικών μέτρων, καθορίζει αυτά προσωρινά, μετά από αίτηση του χρήστη ή του οργανισμού συλλογικής διαχείρισης, και επιδικάζει προσωρινά μέχρι το ήμισυ της εύλογης αμοιβής που καθόρισε. Για τον οριστικό προσδιορισμό του ύψους της εύλογης αμοιβής και των όρων πληρωμής της εφαρμόζεται το τελευταίο εδάφιο της παρ. 6.».</w:t>
      </w:r>
    </w:p>
    <w:p>
      <w:pPr>
        <w:jc w:val="both"/>
      </w:pPr>
      <w:r>
        <w:rPr>
          <w:sz w:val="22"/>
          <w:szCs w:val="22"/>
        </w:rPr>
        <w:t xml:space="preserve"> </w:t>
      </w:r>
    </w:p>
    <w:p>
      <w:pPr>
        <w:jc w:val="both"/>
      </w:pPr>
      <w:r>
        <w:rPr>
          <w:sz w:val="22"/>
          <w:szCs w:val="22"/>
          <w:b w:val="1"/>
          <w:bCs w:val="1"/>
        </w:rPr>
        <w:t xml:space="preserve">Άρθρο 116</w:t>
      </w:r>
    </w:p>
    <w:p>
      <w:pPr>
        <w:jc w:val="both"/>
      </w:pPr>
      <w:r>
        <w:rPr>
          <w:sz w:val="22"/>
          <w:szCs w:val="22"/>
          <w:b w:val="1"/>
          <w:bCs w:val="1"/>
        </w:rPr>
        <w:t xml:space="preserve">Κρατήσεις από τους οργανισμούς συλλογικής διαχείρισης για την παροχή κοινωνικών, πολιτιστικών ή εκπαιδευτικών υπηρεσιών – Προσθήκη παρ. 6 στο άρθρο 18 του ν. 4481/2017</w:t>
      </w:r>
    </w:p>
    <w:p>
      <w:pPr>
        <w:jc w:val="both"/>
      </w:pPr>
      <w:r>
        <w:rPr>
          <w:sz w:val="22"/>
          <w:szCs w:val="22"/>
          <w:b w:val="1"/>
          <w:bCs w:val="1"/>
        </w:rPr>
        <w:t xml:space="preserve">(παρ. 4 άρθρου 12 Οδηγίας 2014/26/ΕΕ)</w:t>
      </w:r>
    </w:p>
    <w:p>
      <w:pPr>
        <w:jc w:val="both"/>
      </w:pPr>
      <w:r>
        <w:rPr>
          <w:sz w:val="22"/>
          <w:szCs w:val="22"/>
          <w:b w:val="1"/>
          <w:bCs w:val="1"/>
        </w:rPr>
        <w:t xml:space="preserve"> </w:t>
      </w:r>
    </w:p>
    <w:p>
      <w:pPr>
        <w:jc w:val="both"/>
      </w:pPr>
      <w:r>
        <w:rPr>
          <w:sz w:val="22"/>
          <w:szCs w:val="22"/>
        </w:rPr>
        <w:t xml:space="preserve">Στο άρθρο 18 του ν. 4481/2017 (Α’ 100), περί των κρατήσεων από τους οργανισμούς συλλογικής διαχείρισης, προστίθεται παρ. 6 ως εξής:</w:t>
      </w:r>
    </w:p>
    <w:p>
      <w:pPr>
        <w:jc w:val="both"/>
      </w:pPr>
      <w:r>
        <w:rPr>
          <w:sz w:val="22"/>
          <w:szCs w:val="22"/>
        </w:rPr>
        <w:t xml:space="preserve">«6. Αν οργανισμός συλλογικής διαχείρισης παρέχει κοινωνικές, πολιτιστικές ή εκπαιδευτικές υπηρεσίες, οι οποίες χρηματοδοτούνται μέσω κρατήσεων επί των εσόδων από τα δικαιώματα και επί τυχόν εσόδων που προκύπτουν από την επένδυση των εσόδων από δικαιώματα ή μέσω μη διανεμητέων ποσών, σύμφωνα με την παρ. 7 του άρθρου 19, οι υπηρεσίες αυτές παρέχονται με βάση δίκαια κριτήρια, ιδίως σε σχέση με την πρόσβαση στις υπηρεσίες αυτές και την έκταση αυτών των υπηρεσιών. Οι υπηρεσίες του πρώτου εδαφίου και τα κριτήρια παροχής τους εγκρίνονται από τη Γενική Συνέλευση των μελών και δημοσιοποιούνται εκ των προτέρων.».</w:t>
      </w:r>
    </w:p>
    <w:p>
      <w:pPr>
        <w:jc w:val="both"/>
      </w:pPr>
      <w:r>
        <w:rPr>
          <w:sz w:val="22"/>
          <w:szCs w:val="22"/>
        </w:rPr>
        <w:t xml:space="preserve"> </w:t>
      </w:r>
    </w:p>
    <w:p>
      <w:pPr>
        <w:jc w:val="both"/>
      </w:pPr>
      <w:r>
        <w:rPr>
          <w:sz w:val="22"/>
          <w:szCs w:val="22"/>
          <w:b w:val="1"/>
          <w:bCs w:val="1"/>
        </w:rPr>
        <w:t xml:space="preserve">Άρθρο 117</w:t>
      </w:r>
    </w:p>
    <w:p>
      <w:pPr>
        <w:jc w:val="both"/>
      </w:pPr>
      <w:r>
        <w:rPr>
          <w:sz w:val="22"/>
          <w:szCs w:val="22"/>
          <w:b w:val="1"/>
          <w:bCs w:val="1"/>
        </w:rPr>
        <w:t xml:space="preserve">Εύλογη αμοιβή – Τροποποίηση παρ. 9 άρθρου 18 ν. 2121/1993</w:t>
      </w:r>
    </w:p>
    <w:p>
      <w:pPr>
        <w:jc w:val="both"/>
      </w:pPr>
      <w:r>
        <w:rPr>
          <w:sz w:val="22"/>
          <w:szCs w:val="22"/>
          <w:b w:val="1"/>
          <w:bCs w:val="1"/>
        </w:rPr>
        <w:t xml:space="preserve"> </w:t>
      </w:r>
    </w:p>
    <w:p>
      <w:pPr>
        <w:jc w:val="both"/>
      </w:pPr>
      <w:r>
        <w:rPr>
          <w:sz w:val="22"/>
          <w:szCs w:val="22"/>
        </w:rPr>
        <w:t xml:space="preserve">Στην παρ. 9 του άρθρου 18 του ν. 2121/1993 (Α’ 25), περί αναπαραγωγής για ιδιωτική χρήση, προστίθενται τρίτο και τέταρτο εδάφιο και η παρ. 9 διαμορφώνεται ως εξής:</w:t>
      </w:r>
    </w:p>
    <w:p>
      <w:pPr>
        <w:jc w:val="both"/>
      </w:pPr>
      <w:r>
        <w:rPr>
          <w:sz w:val="22"/>
          <w:szCs w:val="22"/>
        </w:rPr>
        <w:t xml:space="preserve"> </w:t>
      </w:r>
    </w:p>
    <w:p>
      <w:pPr>
        <w:jc w:val="both"/>
      </w:pPr>
      <w:r>
        <w:rPr>
          <w:sz w:val="22"/>
          <w:szCs w:val="22"/>
        </w:rPr>
        <w:t xml:space="preserve">«9</w:t>
      </w:r>
      <w:r>
        <w:rPr>
          <w:sz w:val="22"/>
          <w:szCs w:val="22"/>
          <w:b w:val="1"/>
          <w:bCs w:val="1"/>
        </w:rPr>
        <w:t xml:space="preserve">.</w:t>
      </w:r>
      <w:r>
        <w:rPr>
          <w:sz w:val="22"/>
          <w:szCs w:val="22"/>
        </w:rPr>
        <w:t xml:space="preserve"> Όταν στην ίδια κατηγορία ή υποκατηγορία δικαιούχων υπάρχουν περισσότεροι οργανισμοί συλλογικής διαχείρισης και η συμφωνία για τη μεταξύ τους κατανομή του ποσοστού της εύλογης αμοιβής δεν έχει επιτευχθεί μέχρι την 1η Απριλίου εκάστου έτους, η κατανομή των ποσοστών της εύλογης αυτής αμοιβής στους οργανισμούς συλλογικής διαχείρισης της κάθε κατηγορίας ή υποκατηγορίας δικαιούχων, ο τρόπος είσπραξης και καταβολής, καθώς και κάθε άλλη σχετική λεπτομέρεια καθορίζονται με απόφαση του ΟΠΙ, η οποία εκδίδεται εντός προθεσμίας οκτώ (8) μηνών από την εκκίνηση είτε μετά από αίτηση οποιουδήποτε δικαιούχου οργανισμού συλλογικής διαχείρισης είτε μετά από σχετική κλήση του ΟΠΙ, της διαδικασίας έκδοσης απόφασης ενώπιον του ΟΠΙ και σε κάθε περίπτωση έως την 30ή Νοεμβρίου εκάστου έτους. Η απόφαση του ΟΠΙ διαμορφώνεται σύμφωνα με τις απόψεις των ενδιαφερόμενων οργανισμών συλλογικής διαχείρισης την καλή πίστη, τα συναλλακτικά ήθη και τις ακολουθούμενες πρακτικές σε διεθνές και κοινοτικό επίπεδο. Η ισχύς της απόφασης του ΟΠΙ διαρκεί για τρία (3) έτη από την έκδοσή της, εκτός αν επιτευχθεί συμφωνία μεταξύ των αρμόδιων οργανισμών συλλογικής διαχείρισης έως την 1η Απριλίου κάθε επόμενου έτους. Στην περίπτωση του προηγούμενου εδαφίου, η έναρξη ισχύος της συμφωνίας και η παύση ισχύος της απόφασης του ΟΠΙ επέρχονται από την κοινοποίηση της συμφωνίας στον ΟΠΙ. Οι οργανισμοί συλλογικής διαχείρισης που δεν συμφωνούν με την απόφαση του ΟΠΙ μπορούν να ζητήσουν από το Μονομελές Πρωτοδικείο δικάζον, κατά τη διαδικασία των ασφαλιστικών μέτρων, να καθορίσει άλλη κατανομή, οι οφειλέτες όμως υποχρεούνται να καταβάλουν στους οργανισμούς συλλογικής διαχείρισης την εύλογη αμοιβή με βάση την απόφαση του ΟΠΙ. Η καταβολή αυτή συνεπάγεται την εξόφληση και ελευθέρωσή τους.».</w:t>
      </w:r>
    </w:p>
    <w:p>
      <w:pPr>
        <w:jc w:val="both"/>
      </w:pPr>
      <w:r>
        <w:rPr>
          <w:sz w:val="22"/>
          <w:szCs w:val="22"/>
        </w:rPr>
        <w:t xml:space="preserve"> </w:t>
      </w:r>
    </w:p>
    <w:p>
      <w:pPr>
        <w:jc w:val="both"/>
      </w:pPr>
      <w:r>
        <w:rPr>
          <w:sz w:val="22"/>
          <w:szCs w:val="22"/>
          <w:b w:val="1"/>
          <w:bCs w:val="1"/>
        </w:rPr>
        <w:t xml:space="preserve"> </w:t>
      </w:r>
    </w:p>
    <w:p>
      <w:pPr>
        <w:jc w:val="both"/>
      </w:pPr>
      <w:r>
        <w:rPr>
          <w:sz w:val="22"/>
          <w:szCs w:val="22"/>
          <w:b w:val="1"/>
          <w:bCs w:val="1"/>
        </w:rPr>
        <w:t xml:space="preserve">Άρθρο 118</w:t>
      </w:r>
    </w:p>
    <w:p>
      <w:pPr>
        <w:jc w:val="both"/>
      </w:pPr>
      <w:r>
        <w:rPr>
          <w:sz w:val="22"/>
          <w:szCs w:val="22"/>
          <w:b w:val="1"/>
          <w:bCs w:val="1"/>
        </w:rPr>
        <w:t xml:space="preserve">Πόροι του Οργανισμού Πνευματικής Ιδιοκτησίας – Εξουσιοδοτική διάταξη – Τροποποίηση παρ. 2 και 3 άρθρου 69 ν. 2121/1993</w:t>
      </w:r>
    </w:p>
    <w:p>
      <w:pPr>
        <w:jc w:val="both"/>
      </w:pPr>
      <w:r>
        <w:rPr>
          <w:sz w:val="22"/>
          <w:szCs w:val="22"/>
          <w:b w:val="1"/>
          <w:bCs w:val="1"/>
        </w:rPr>
        <w:t xml:space="preserve"> </w:t>
      </w:r>
    </w:p>
    <w:p>
      <w:pPr>
        <w:jc w:val="both"/>
      </w:pPr>
      <w:r>
        <w:rPr>
          <w:sz w:val="22"/>
          <w:szCs w:val="22"/>
        </w:rPr>
        <w:t xml:space="preserve">Στις παρ. 2 και 3 του άρθρου 69 του ν. 2121/1993 (Α’ 25), περί σύστασης του Οργανισμού Πνευματικής Ιδιοκτησίας, επέρχονται οι ακόλουθες τροποποιήσεις: α) στην παρ. 2, τα πέμπτο, έκτο και έβδομο εδάφια αντικαθίστανται από νέο πέμπτο εδάφιο, β) στην παρ. 3, βα) στο πρώτο εδάφιο διαγράφονται οι λέξεις «, τα ποσά των αμοιβών για την παροχή υπηρεσιών που μπορεί εκάστοτε να αναπροσαρμόζεται με απόφαση του Υπουργού Πολιτισμού» και ββ) προστίθεται δεύτερο εδάφιο, και οι παρ. 2 και 3 διαμορφώνονται ως εξής:</w:t>
      </w:r>
    </w:p>
    <w:p>
      <w:pPr>
        <w:jc w:val="both"/>
      </w:pPr>
      <w:r>
        <w:rPr>
          <w:sz w:val="22"/>
          <w:szCs w:val="22"/>
        </w:rPr>
        <w:t xml:space="preserve"> </w:t>
      </w:r>
    </w:p>
    <w:p>
      <w:pPr>
        <w:jc w:val="both"/>
      </w:pPr>
      <w:r>
        <w:rPr>
          <w:sz w:val="22"/>
          <w:szCs w:val="22"/>
        </w:rPr>
        <w:t xml:space="preserve">«2. Ο Οργανισμός Πνευματικής Ιδιοκτησίας (Ο.Π.Ι.) επιχορηγείται με εισφορά ύψους 1% επί των ετήσιων ακαθάριστων εσόδων εκάστου οργανισμού συλλογικής διαχείρισης που καταβάλλεται το αργότερο μέχρι την 31η Οκτωβρίου εκάστου έτους με βάση τον ισολογισμό του προηγούμενου έτους και εισπράττεται σύμφωνα με τον Κώδικα Εισπράξεων Δημοσίων Εσόδων. Οι ετήσιοι ισολογισμοί των οργανισμών συλλογικής διαχείρισης κατατίθενται στον Οργανισμό Πνευματικής Ιδιοκτησίας και στο Υπουργείο Πολιτισμού. Τα παραπάνω ισχύουν και για τους οργανισμούς συλλογικής προστασίας οι οποίοι υποχρεούνται να συντάσσουν ετήσιο ισολογισμό ο οποίος κατατίθεται στον Οργανισμό Πνευματικής Ιδιοκτησίας και στο Υπουργείο Πολιτισμού. Ως ακαθάριστα έσοδα λαμβάνονται τα έσοδα, όπως αυτά ορίζονται από το Ενιαίο Λογιστικό Σχέδιο.</w:t>
      </w:r>
    </w:p>
    <w:p>
      <w:pPr>
        <w:jc w:val="both"/>
      </w:pPr>
      <w:r>
        <w:rPr>
          <w:sz w:val="22"/>
          <w:szCs w:val="22"/>
        </w:rPr>
        <w:t xml:space="preserve">Οι πόροι του Οργανισμού Πνευματικής Ιδιοκτησίας προέρχονται από:</w:t>
      </w:r>
    </w:p>
    <w:p>
      <w:pPr>
        <w:jc w:val="both"/>
      </w:pPr>
      <w:r>
        <w:rPr>
          <w:sz w:val="22"/>
          <w:szCs w:val="22"/>
        </w:rPr>
        <w:t xml:space="preserve">α) τακτική και έκτακτη χρηματοδότηση από το Υπουργείο Πολιτισμού,</w:t>
      </w:r>
    </w:p>
    <w:p>
      <w:pPr>
        <w:jc w:val="both"/>
      </w:pPr>
      <w:r>
        <w:rPr>
          <w:sz w:val="22"/>
          <w:szCs w:val="22"/>
        </w:rPr>
        <w:t xml:space="preserve">β) χρηματοδοτήσεις και επιχορηγήσεις από την Ευρωπαϊκή Ένωση και διεθνείς οργανισμούς,</w:t>
      </w:r>
    </w:p>
    <w:p>
      <w:pPr>
        <w:jc w:val="both"/>
      </w:pPr>
      <w:r>
        <w:rPr>
          <w:sz w:val="22"/>
          <w:szCs w:val="22"/>
        </w:rPr>
        <w:t xml:space="preserve">γ) χρηματοδοτήσεις από άλλους δημόσιους ή ιδιωτικούς φορείς για συγκεκριμένες δράσεις,</w:t>
      </w:r>
    </w:p>
    <w:p>
      <w:pPr>
        <w:jc w:val="both"/>
      </w:pPr>
      <w:r>
        <w:rPr>
          <w:sz w:val="22"/>
          <w:szCs w:val="22"/>
        </w:rPr>
        <w:t xml:space="preserve">δ) χρηματοδοτήσεις από τη συμμετοχή του, με οποιαδήποτε ιδιότητα, στην υλοποίηση ευρωπαϊκών προγραμμάτων,</w:t>
      </w:r>
    </w:p>
    <w:p>
      <w:pPr>
        <w:jc w:val="both"/>
      </w:pPr>
      <w:r>
        <w:rPr>
          <w:sz w:val="22"/>
          <w:szCs w:val="22"/>
        </w:rPr>
        <w:t xml:space="preserve">ε) χρηματοδοτήσεις που συνδέονται με τη συμμετοχή του σε προγράμματα χρηματοδοτούμενα από χρηματοπιστωτικά ιδρύματα, την Ευρωπαϊκή Ένωση ή διεθνείς οργανισμούς,</w:t>
      </w:r>
    </w:p>
    <w:p>
      <w:pPr>
        <w:jc w:val="both"/>
      </w:pPr>
      <w:r>
        <w:rPr>
          <w:sz w:val="22"/>
          <w:szCs w:val="22"/>
        </w:rPr>
        <w:t xml:space="preserve">στ) χρηματοδοτήσεις από τη συμμετοχή του σε ερευνητικά προγράμματα,</w:t>
      </w:r>
    </w:p>
    <w:p>
      <w:pPr>
        <w:jc w:val="both"/>
      </w:pPr>
      <w:r>
        <w:rPr>
          <w:sz w:val="22"/>
          <w:szCs w:val="22"/>
        </w:rPr>
        <w:t xml:space="preserve">ζ) κληρονομίες,</w:t>
      </w:r>
    </w:p>
    <w:p>
      <w:pPr>
        <w:jc w:val="both"/>
      </w:pPr>
      <w:r>
        <w:rPr>
          <w:sz w:val="22"/>
          <w:szCs w:val="22"/>
        </w:rPr>
        <w:t xml:space="preserve">η) κληροδοσίες,</w:t>
      </w:r>
    </w:p>
    <w:p>
      <w:pPr>
        <w:jc w:val="both"/>
      </w:pPr>
      <w:r>
        <w:rPr>
          <w:sz w:val="22"/>
          <w:szCs w:val="22"/>
        </w:rPr>
        <w:t xml:space="preserve">θ) δωρεές,</w:t>
      </w:r>
    </w:p>
    <w:p>
      <w:pPr>
        <w:jc w:val="both"/>
      </w:pPr>
      <w:r>
        <w:rPr>
          <w:sz w:val="22"/>
          <w:szCs w:val="22"/>
        </w:rPr>
        <w:t xml:space="preserve">ι) χορηγίες και λοιπές παροχές από χαριστική αιτία,</w:t>
      </w:r>
    </w:p>
    <w:p>
      <w:pPr>
        <w:jc w:val="both"/>
      </w:pPr>
      <w:r>
        <w:rPr>
          <w:sz w:val="22"/>
          <w:szCs w:val="22"/>
        </w:rPr>
        <w:t xml:space="preserve">ια) προσόδους και τόκους καταθέσεων σε πιστωτικά ιδρύματα,</w:t>
      </w:r>
    </w:p>
    <w:p>
      <w:pPr>
        <w:jc w:val="both"/>
      </w:pPr>
      <w:r>
        <w:rPr>
          <w:sz w:val="22"/>
          <w:szCs w:val="22"/>
        </w:rPr>
        <w:t xml:space="preserve">ιβ) έσοδα από την παροχή υπηρεσιών του, καθώς και</w:t>
      </w:r>
    </w:p>
    <w:p>
      <w:pPr>
        <w:jc w:val="both"/>
      </w:pPr>
      <w:r>
        <w:rPr>
          <w:sz w:val="22"/>
          <w:szCs w:val="22"/>
        </w:rPr>
        <w:t xml:space="preserve">ιγ) έσοδα από κάθε άλλη νόμιμη αιτία.</w:t>
      </w:r>
    </w:p>
    <w:p>
      <w:pPr>
        <w:numPr>
          <w:ilvl w:val="0"/>
          <w:numId w:val="91"/>
        </w:numPr>
      </w:pPr>
      <w:r>
        <w:rPr>
          <w:sz w:val="22"/>
          <w:szCs w:val="22"/>
        </w:rPr>
        <w:t xml:space="preserve">Με προεδρικό διάταγμα που εκδίδεται με πρόταση των Υπουργών Πολιτισμού, Εθνικής Οικονομίας και Οικονομικών και Εσωτερικών καθορίζονται το αντικείμενο και οι ειδικότερες αρμοδιότητες του Οργανισμού στο πλαίσιο του σκοπού του, ο τρόπος και η διαδικασία ασκήσεως των αρμοδιοτήτων αυτών, τα της διοίκησης και ελέγχου διαχείρισης του Οργανισμού, τα του προσωπικού και της οργάνωσής του και γενικά ο τρόπος επιλογής του αναγκαίου για τη στελέχωση Οργανισμού επιστημονικού, διοικητικού και βοηθητικού προσωπικού, η μισθοδοσία αυτού, καθώς και κάθε άλλη σχετική λεπτομέρεια.</w:t>
      </w:r>
    </w:p>
    <w:p>
      <w:pPr>
        <w:jc w:val="both"/>
      </w:pPr>
      <w:r>
        <w:rPr>
          <w:sz w:val="22"/>
          <w:szCs w:val="22"/>
        </w:rPr>
        <w:t xml:space="preserve">Τα ποσά των αμοιβών του Οργανισμού Πνευματικής Ιδιοκτησίας για την παροχή υπηρεσιών χαρτοσήμανσης και υπηρεσιών διαμεσολάβησης καθορίζονται με απόφαση του Διοικητικού Συμβουλίου του.».</w:t>
      </w:r>
    </w:p>
    <w:p>
      <w:pPr>
        <w:jc w:val="both"/>
      </w:pPr>
      <w:r>
        <w:rPr>
          <w:sz w:val="22"/>
          <w:szCs w:val="22"/>
          <w:b w:val="1"/>
          <w:bCs w:val="1"/>
        </w:rPr>
        <w:t xml:space="preserve"> </w:t>
      </w:r>
    </w:p>
    <w:p>
      <w:pPr>
        <w:jc w:val="both"/>
      </w:pPr>
      <w:r>
        <w:rPr>
          <w:sz w:val="22"/>
          <w:szCs w:val="22"/>
          <w:b w:val="1"/>
          <w:bCs w:val="1"/>
        </w:rPr>
        <w:t xml:space="preserve">Άρθρο 119</w:t>
      </w:r>
    </w:p>
    <w:p>
      <w:pPr>
        <w:jc w:val="both"/>
      </w:pPr>
      <w:r>
        <w:rPr>
          <w:sz w:val="22"/>
          <w:szCs w:val="22"/>
          <w:b w:val="1"/>
          <w:bCs w:val="1"/>
        </w:rPr>
        <w:t xml:space="preserve">Ορισμός στη θέση Διευθυντή του Οργανισμού Πνευματικής Ιδιοκτησίας</w:t>
      </w:r>
    </w:p>
    <w:p>
      <w:pPr>
        <w:jc w:val="both"/>
      </w:pPr>
      <w:r>
        <w:rPr>
          <w:sz w:val="22"/>
          <w:szCs w:val="22"/>
          <w:b w:val="1"/>
          <w:bCs w:val="1"/>
        </w:rPr>
        <w:t xml:space="preserve"> </w:t>
      </w:r>
    </w:p>
    <w:p>
      <w:pPr>
        <w:numPr>
          <w:ilvl w:val="0"/>
          <w:numId w:val="92"/>
        </w:numPr>
      </w:pPr>
      <w:r>
        <w:rPr>
          <w:sz w:val="22"/>
          <w:szCs w:val="22"/>
        </w:rPr>
        <w:t xml:space="preserve">Στη θέση του Διευθυντή του Οργανισμού Πνευματικής Ιδιοκτησίας μπορεί να διορίζεται και υπάλληλος, δικηγόρος με έμμισθη εντολή ή λειτουργός φορέα της Γενικής Κυβέρνησης, όπως αυτή ορίζεται στην περ. β) της παρ. 1 του άρθρου 14 του ν. 4270/2014 (Α΄ 143), εφόσον διαθέτει τα προσόντα της παρ. 1 του άρθρου 5 του π.δ. 311/1994 (Α΄ 65). Στην περίπτωση αυτή, ο υπάλληλος, δικηγόρος με έμμισθη εντολή ή λειτουργός θεωρείται αυτοδικαίως αποσπασμένος στη θέση του Διευθυντή για χρονικό διάστημα ίσο με τη διάρκεια της θητείας του.</w:t>
      </w:r>
    </w:p>
    <w:p>
      <w:pPr>
        <w:numPr>
          <w:ilvl w:val="0"/>
          <w:numId w:val="92"/>
        </w:numPr>
      </w:pPr>
      <w:r>
        <w:rPr>
          <w:sz w:val="22"/>
          <w:szCs w:val="22"/>
        </w:rPr>
        <w:t xml:space="preserve">Με τη λήξη της θητείας ή την καθ’ οιονδήποτε τρόπο αποχώρησή του από τη θέση του Διευθυντή, ο υπάλληλος, δικηγόρος με έμμισθη εντολή ή λειτουργός επανέρχεται αυτοδικαίως στην οργανική θέση ή στη θέση έμμισθης εντολής που κατείχε πριν από τον διορισμό του. Αν η οργανική θέση έχει καταργηθεί ή δεν είναι κενή, συνιστάται αυτοδικαίως προσωρινή ομοιόβαθμη θέση της ίδιας κατηγορίας, κλάδου και ειδικότητας, η οποία καταργείται αυτοδικαίως με την αποχώρησή του από την υπηρεσία.</w:t>
      </w:r>
    </w:p>
    <w:p>
      <w:pPr>
        <w:numPr>
          <w:ilvl w:val="0"/>
          <w:numId w:val="92"/>
        </w:numPr>
      </w:pPr>
      <w:r>
        <w:rPr>
          <w:sz w:val="22"/>
          <w:szCs w:val="22"/>
        </w:rPr>
        <w:t xml:space="preserve">Οι υπάλληλοι, οι δικηγόροι με έμμισθη εντολή και οι λειτουργοί που διορίζονται στη θέση του Διευθυντή λαμβάνουν μόνο τις αποδοχές της θέσης αυτής. Οι αποδοχές της οργανικής θέσης ή της θέσης έμμισθης εντολής που κατείχαν πριν από τον διορισμό τους διακόπτονται αυτοδικαίως για όσο χρόνο διαρκεί η θητεία τους.</w:t>
      </w:r>
    </w:p>
    <w:p>
      <w:pPr>
        <w:jc w:val="both"/>
      </w:pPr>
      <w:r>
        <w:rPr>
          <w:sz w:val="22"/>
          <w:szCs w:val="22"/>
          <w:b w:val="1"/>
          <w:bCs w:val="1"/>
        </w:rPr>
        <w:t xml:space="preserve"> </w:t>
      </w:r>
    </w:p>
    <w:p>
      <w:pPr>
        <w:jc w:val="both"/>
      </w:pPr>
      <w:r>
        <w:rPr>
          <w:sz w:val="22"/>
          <w:szCs w:val="22"/>
          <w:b w:val="1"/>
          <w:bCs w:val="1"/>
        </w:rPr>
        <w:t xml:space="preserve">Άρθρο 120</w:t>
      </w:r>
    </w:p>
    <w:p>
      <w:pPr>
        <w:jc w:val="both"/>
      </w:pPr>
      <w:r>
        <w:rPr>
          <w:sz w:val="22"/>
          <w:szCs w:val="22"/>
          <w:b w:val="1"/>
          <w:bCs w:val="1"/>
        </w:rPr>
        <w:t xml:space="preserve">Ενεργητική νομιμοποίηση του συνδίκου της πτώχευσης και διανομή των δικαιωμάτων στους δικαιούχους δημιουργούς της πρώην ανεξάρτητης οντότητας διαχείρισης του άρθρου 50 του ν. 4481/2017 με την επωνυμία «ΑΕΠΙ – Ελληνική Εταιρία προς Προστασίαν της Πνευματικής Ιδιοκτησίας Α.Ε.»</w:t>
      </w:r>
    </w:p>
    <w:p>
      <w:pPr>
        <w:numPr>
          <w:ilvl w:val="0"/>
          <w:numId w:val="93"/>
        </w:numPr>
      </w:pPr>
      <w:r>
        <w:rPr>
          <w:sz w:val="22"/>
          <w:szCs w:val="22"/>
        </w:rPr>
        <w:t xml:space="preserve">Ο σύνδικος της πτώχευσης της πρώην ανεξάρτητης οντότητας διαχείρισης (Α.Ο.Δ.) του άρθρου 50 του ν. 4481/2017 (Α’ 100), με την επωνυμία «ΑΕΠΙ – Ελληνική Εταιρία προς Προστασίαν της Πνευματικής Ιδιοκτησίας Α.Ε.», της οποίας η άδεια λειτουργίας ανακλήθηκε με την υπό στοιχεία ΥΠΠΟΑ/Γρ.Υπ./224747/4952/15.5.2018 απόφαση της Υπουργού Πολιτισμού και Αθλητισμού «Ανάκληση άδειας λειτουργίας του Οργανισμού Συλλογικής Διαχείρισης (πλέον ανεξάρτητης οντότητας διαχείρισης του άρθρου 50 του ν. 4481/2017) με την επωνυμία “ΑΕΠΙ – Ελληνική Εταιρεία προς Προστασίαν της Πνευματικής Ιδιοκτησίας ΑΕ.” και με το διακριτικό τίτλο ΑΕΠΙ» (Β΄ 1767) και η οποία κηρύχθηκε σε πτώχευση με την υπ’ αρ. 454/13.6.2019 απόφαση του Πολυμελούς Πρωτοδικείου Αθηνών, είναι αρμόδιος για:</w:t>
      </w:r>
    </w:p>
    <w:p>
      <w:pPr>
        <w:jc w:val="both"/>
      </w:pPr>
      <w:r>
        <w:rPr>
          <w:sz w:val="22"/>
          <w:szCs w:val="22"/>
        </w:rPr>
        <w:t xml:space="preserve">α) τη διαχείριση των αδιάθετων χρηματικών ποσών που είναι κατατεθειμένα στους χωριστούς ειδικούς τραπεζικούς λογαριασμούς της περ. α) της παρ. 2 του άρθρου 17 του ν. 4481/2017 της πρώην Α.Ο.Δ.,</w:t>
      </w:r>
    </w:p>
    <w:p>
      <w:pPr>
        <w:jc w:val="both"/>
      </w:pPr>
      <w:r>
        <w:rPr>
          <w:sz w:val="22"/>
          <w:szCs w:val="22"/>
        </w:rPr>
        <w:t xml:space="preserve">β) τη διαχείριση και είσπραξη απαιτήσεων κατά χρηστών πνευματικών δικαιωμάτων, οι οποίες είχαν τιμολογηθεί από την πρώην Α.Ο.Δ. πριν από την ανάκληση της άδειας λειτουργίας της και δεν έχουν εισπραχθεί, και</w:t>
      </w:r>
    </w:p>
    <w:p>
      <w:pPr>
        <w:jc w:val="both"/>
      </w:pPr>
      <w:r>
        <w:rPr>
          <w:sz w:val="22"/>
          <w:szCs w:val="22"/>
        </w:rPr>
        <w:t xml:space="preserve">γ) τη διανομή των ανωτέρω ποσών στους δικαιούχους δημιουργούς.</w:t>
      </w:r>
    </w:p>
    <w:p>
      <w:pPr>
        <w:jc w:val="both"/>
      </w:pPr>
      <w:r>
        <w:rPr>
          <w:sz w:val="22"/>
          <w:szCs w:val="22"/>
        </w:rPr>
        <w:t xml:space="preserve">Στην έννοια της διαχείρισης της περ. α) του προηγούμενου εδαφίου περιλαμβάνονται ιδίως η ενημέρωση του συνδίκου της πτώχευσης για την κίνηση των τραπεζικών λογαριασμών της περ. α) της παρ. 2 του άρθρου 17 του ν. 4481/2017 της πρώην Α.Ο.Δ., η ανάληψη και κατάθεση χρηματικών ποσών, η διενέργεια χρεώσεων και μεταφορών μεταξύ τραπεζικών λογαριασμών, καθώς και κάθε άλλη αναγκαία τραπεζική συναλλαγή για τη διανομή και απόδοση στους δικαιούχους δημιουργούς των χρηματικών ποσών που τους αναλογούν από πνευματικά δικαιώματα και για την είσπραξη της προμήθειας της πρώην Α.Ο.Δ., η οποία ανήκει στην πτωχευτική περιουσία.</w:t>
      </w:r>
    </w:p>
    <w:p>
      <w:pPr>
        <w:numPr>
          <w:ilvl w:val="0"/>
          <w:numId w:val="94"/>
        </w:numPr>
      </w:pPr>
      <w:r>
        <w:rPr>
          <w:sz w:val="22"/>
          <w:szCs w:val="22"/>
        </w:rPr>
        <w:t xml:space="preserve">Η ανάθεση της διαχείρισης και είσπραξης των ποσών της παρ. 1 στον σύνδικο της πτώχευσης γίνεται αποκλειστικά για τη διανομή τους στους δικαιούχους δημιουργούς. Η διαχείριση αυτή δεν καθιστά τον σύνδικο της πτώχευσης καθολικό ή ειδικό διάδοχο της πρώην Α.Ο.Δ. της παρ. 1.</w:t>
      </w:r>
    </w:p>
    <w:p>
      <w:pPr>
        <w:numPr>
          <w:ilvl w:val="0"/>
          <w:numId w:val="94"/>
        </w:numPr>
      </w:pPr>
      <w:r>
        <w:rPr>
          <w:sz w:val="22"/>
          <w:szCs w:val="22"/>
        </w:rPr>
        <w:t xml:space="preserve">Τα ποσά της περ. β) του πρώτου εδαφίου της παρ. 1 κατατίθενται σε έναν ή περισσότερους ειδικούς πτωχευτικούς τραπεζικούς λογαριασμούς, τους οποίους ανοίγει ο σύνδικος της πτώχευσης, κατόπιν άδειας του εισηγητή της πτώχευσης.</w:t>
      </w:r>
    </w:p>
    <w:p>
      <w:pPr>
        <w:numPr>
          <w:ilvl w:val="0"/>
          <w:numId w:val="94"/>
        </w:numPr>
      </w:pPr>
      <w:r>
        <w:rPr>
          <w:sz w:val="22"/>
          <w:szCs w:val="22"/>
        </w:rPr>
        <w:t xml:space="preserve">Ο σύνδικος της πτώχευσης διανέμει και αποδίδει στους δικαιούχους δημιουργούς τα ποσά των περ. α) και β) του πρώτου εδαφίου της παρ. 1, σύμφωνα με τον Κανονισμό διανομής της πρώην Α.Ο.Δ. της παρ. 1, όπως ίσχυε κατά τον χρόνο ανάκλησης της άδειάς της. Για τη διανομή και απόδοση των ποσών λαμβάνεται υπόψη το φυσικό, ψηφιοποιημένο και ψηφιακό αρχείο τεκμηρίωσης και έργων των δικαιούχων και των αλλοδαπών οργανισμών συλλογικής διαχείρισης, τους οποίους εκπροσωπούσε η πρώην Α.Ο.Δ. της παρ. 1 κατά τον χρόνο ανάκλησης της άδειάς της και το οποίο περιλαμβάνεται στην πτωχευτική περιουσία.</w:t>
      </w:r>
    </w:p>
    <w:p>
      <w:pPr>
        <w:jc w:val="both"/>
      </w:pPr>
      <w:r>
        <w:rPr>
          <w:sz w:val="22"/>
          <w:szCs w:val="22"/>
        </w:rPr>
        <w:t xml:space="preserve">Από τα ποσά της περ. α) του πρώτου εδαφίου της παρ. 1 αφαιρείται η προμήθεια της πρώην Α.Ο.Δ. της παρ. 1, όπως ίσχυε κατά τον χρόνο ανάκλησης της άδειάς της, η οποία ανήκει στην πτωχευτική περιουσία. Από τα ποσά της περ. β) του πρώτου εδαφίου της παρ. 1 αφαιρούνται η προμήθεια της πρώην Α.Ο.Δ. της παρ. 1 και τα διαχειριστικά έξοδα του επόμενου εδαφίου.</w:t>
      </w:r>
    </w:p>
    <w:p>
      <w:pPr>
        <w:jc w:val="both"/>
      </w:pPr>
      <w:r>
        <w:rPr>
          <w:sz w:val="22"/>
          <w:szCs w:val="22"/>
        </w:rPr>
        <w:t xml:space="preserve">Τα έξοδα δικαστικής διεκδίκησης των απαιτήσεων της περ. β) του πρώτου εδαφίου της παρ. 1 από τον σύνδικο της πτώχευσης λογίζονται ως διαχειριστικά έξοδα και περιλαμβάνουν αποκλειστικά τα ποσά που καταβάλλονται υποχρεωτικά και αποδεδειγμένα για την εισαγωγή της υπόθεσης στο δικαστήριο και τη διεξαγωγή της δίκης, όπως δικαστικά ένσημα, μεγαρόσημα, παράβολα και γραμμάτια.</w:t>
      </w:r>
    </w:p>
    <w:p>
      <w:pPr>
        <w:jc w:val="both"/>
      </w:pPr>
      <w:r>
        <w:rPr>
          <w:sz w:val="22"/>
          <w:szCs w:val="22"/>
        </w:rPr>
        <w:t xml:space="preserve">Μετά την αφαίρεση της προμήθειας και των διαχειριστικών εξόδων, ο σύνδικος της πτώχευσης προβαίνει, με άδεια του εισηγητή της πτώχευσης, στον αποχωρισμό των ποσών από την πτωχευτική περιουσία, χωρίς να απαιτείται αίτηση διαχωρισμού από τους δικαιούχους.</w:t>
      </w:r>
    </w:p>
    <w:p>
      <w:pPr>
        <w:numPr>
          <w:ilvl w:val="0"/>
          <w:numId w:val="95"/>
        </w:numPr>
      </w:pPr>
      <w:r>
        <w:rPr>
          <w:sz w:val="22"/>
          <w:szCs w:val="22"/>
        </w:rPr>
        <w:t xml:space="preserve">Ειδικά για το έργο της διανομής της παρ. 4 και μέχρι την ολοκλήρωσή του, ο σύνδικος της πτώχευσης δύναται να λαμβάνει πρόσθετη αμοιβή, πέραν εκείνης που λαμβάνει για τις εργασίες της πτώχευσης. Η πρόσθετη αμοιβή καθορίζεται από το πτωχευτικό δικαστήριο ανά διενεργούμενη διανομή, με ανάλογη εφαρμογή της παρ. 1 του άρθρου 241 του ν. 4738/2020 (Α’ 207), χωρίς να απαιτείται η κατάρτιση συμφωνίας με τους πιστωτές. Το πτωχευτικό δικαστήριο εκδίδει την απόφασή του εντός ενός (1) μηνός από την υποβολή της αίτησης του συνδίκου της πτώχευσης.</w:t>
      </w:r>
    </w:p>
    <w:p>
      <w:pPr>
        <w:numPr>
          <w:ilvl w:val="0"/>
          <w:numId w:val="95"/>
        </w:numPr>
      </w:pPr>
      <w:r>
        <w:rPr>
          <w:sz w:val="22"/>
          <w:szCs w:val="22"/>
        </w:rPr>
        <w:t xml:space="preserve">Για την υποβοήθηση του έργου της διανομής της παρ. 4, ο σύνδικος της πτώχευσης δύναται, ύστερα από άδεια του εισηγητή της πτώχευσης, να συνάπτει συμβάσεις παροχής υπηρεσιών με τεχνικούς συμβούλους που διαθέτουν εξειδίκευση ή εμπειρία στη διανομή πνευματικών δικαιωμάτων, ανεξαρτήτως κλάδου ή ειδικότητας. Τα πρόσωπα αυτά και η αμοιβή τους εγκρίνονται από τον εισηγητή της πτώχευσης. Το ύψος και ο χρόνος καταβολής της αμοιβής των προσώπων του πρώτου εδαφίου επικυρώνονται από το πτωχευτικό δικαστήριο, το οποίο εκδίδει την απόφασή του εντός ενός (1) μηνός από την υποβολή της αίτησης του συνδίκου της πτώχευσης. Η διάρκεια των συμβάσεων παροχής υπηρεσιών δεν δύναται να υπερβαίνει τον χρόνο ολοκλήρωσης της εκάστοτε διανομής.</w:t>
      </w:r>
    </w:p>
    <w:p>
      <w:pPr>
        <w:numPr>
          <w:ilvl w:val="0"/>
          <w:numId w:val="95"/>
        </w:numPr>
      </w:pPr>
      <w:r>
        <w:rPr>
          <w:sz w:val="22"/>
          <w:szCs w:val="22"/>
        </w:rPr>
        <w:t xml:space="preserve">Οι πάσης φύσεως δαπάνες για την εκτέλεση του έργου των περ. α) και γ) του πρώτου εδαφίου της παρ. 1, καθώς και οι δαπάνες των παρ. 5 και 6, βαρύνουν την πτωχευτική περιουσία.</w:t>
      </w:r>
    </w:p>
    <w:p>
      <w:pPr>
        <w:numPr>
          <w:ilvl w:val="0"/>
          <w:numId w:val="95"/>
        </w:numPr>
      </w:pPr>
      <w:r>
        <w:rPr>
          <w:sz w:val="22"/>
          <w:szCs w:val="22"/>
        </w:rPr>
        <w:t xml:space="preserve">Κατά τη διάρκεια του έργου της διανομής της παρ. 4, η πρώην Α.Ο.Δ. της παρ. 1 υποχρεούται να επιτρέπει, χωρίς περιορισμό, την πρόσβαση των προσώπων που εξουσιοδοτούνται από τον σύνδικο της πτώχευσης στο φυσικό, ψηφιοποιημένο και ψηφιακό αρχείο τεκμηρίωσης και έργων των δικαιούχων που εκπροσωπούσε κατά τον χρόνο ανάκλησης της άδειάς της, καθώς και σε κάθε άλλο αρχείο που είναι αναγκαίο για το έργο της διαχείρισης, είσπραξης και διανομής των ποσών στους δικαιούχους. Για τους σκοπούς της διαχείρισης, είσπραξης και διανομής, ο σύνδικος της πτώχευσης καθίσταται νόμιμος χρήστης των αρχείων. Ως πρόσβαση νοείται και η δυνατότητα εγκατάστασης, στις εγκαταστάσεις της πρώην Α.Ο.Δ. της παρ. 1, των προσώπων που έχουν προσληφθεί για την υποβοήθηση του έργου του συνδίκου της πτώχευσης. Ο σύνδικος της πτώχευσης λαμβάνει τα αναγκαία μέτρα για την προστασία και τη διαφύλαξη της ακεραιότητας του φυσικού, ψηφιοποιημένου και ψηφιακού αρχείου τεκμηρίωσης και των έργων των δικαιούχων της πρώην Α.Ο.Δ. της παρ. 1. Οι αρμόδιες αρχές υποχρεούνται να συνδράμουν για τους ανωτέρω σκοπούς. Ο σύνδικος της πτώχευσης δεν ευθύνεται για την καταστροφή ή αλλοίωση του φυσικού, ψηφιοποιημένου και ψηφιακού αρχείου τεκμηρίωσης ή έργων των δικαιούχων, εκτός αν αυτή οφείλεται σε δόλο ή βαριά αμέλειά του.</w:t>
      </w:r>
    </w:p>
    <w:p>
      <w:pPr>
        <w:numPr>
          <w:ilvl w:val="0"/>
          <w:numId w:val="95"/>
        </w:numPr>
      </w:pPr>
      <w:r>
        <w:rPr>
          <w:sz w:val="22"/>
          <w:szCs w:val="22"/>
        </w:rPr>
        <w:t xml:space="preserve">Οι δικαιούχοι της παρ. 1 ειδοποιούνται και καλούνται να εισπράξουν τα ποσά που τους αναλογούν με ανακοίνωση του συνδίκου της πτώχευσης. Η ανακοίνωση αναρτάται στις ιστοσελίδες του νομικού προσώπου ιδιωτικού δικαίου με την επωνυμία «Οργανισμός Πνευματικής Ιδιοκτησίας» και του Υπουργείου Πολιτισμού και αποστέλλεται από τον σύνδικο της πτώχευσης, με επιστολή ή μήνυμα ηλεκτρονικού ταχυδρομείου, στους οργανισμούς συλλογικής διαχείρισης πνευματικών δικαιωμάτων.</w:t>
      </w:r>
    </w:p>
    <w:p>
      <w:pPr>
        <w:numPr>
          <w:ilvl w:val="0"/>
          <w:numId w:val="95"/>
        </w:numPr>
      </w:pPr>
      <w:r>
        <w:rPr>
          <w:sz w:val="22"/>
          <w:szCs w:val="22"/>
        </w:rPr>
        <w:t xml:space="preserve">Ο σύνδικος της πτώχευσης, κατά την εκτέλεση των ανωτέρω καθηκόντων του, ευθύνεται μόνο για δόλο ή βαριά αμέλεια.</w:t>
      </w:r>
    </w:p>
    <w:p>
      <w:pPr>
        <w:numPr>
          <w:ilvl w:val="0"/>
          <w:numId w:val="95"/>
        </w:numPr>
      </w:pPr>
      <w:r>
        <w:rPr>
          <w:sz w:val="22"/>
          <w:szCs w:val="22"/>
        </w:rPr>
        <w:t xml:space="preserve">Για τη δικαστική διεκδίκηση των απαιτήσεων από πνευματικά δικαιώματα της πρώην Α.Ο.Δ. της παρ. 1 από τον σύνδικο της πτώχευσης ισχύουν υπέρ αυτού τα τεκμήρια του άρθρου 7 του ν. 4481/2017. Η παρούσα καταλαμβάνει και τις εκκρεμείς δίκες του συνδίκου της πτώχευσης σε οποιονδήποτε βαθμό δικαιοδοσίας.</w:t>
      </w:r>
    </w:p>
    <w:p>
      <w:pPr>
        <w:jc w:val="both"/>
      </w:pPr>
      <w:r>
        <w:rPr>
          <w:sz w:val="22"/>
          <w:szCs w:val="22"/>
        </w:rPr>
        <w:t xml:space="preserve"> </w:t>
      </w:r>
    </w:p>
    <w:p>
      <w:pPr>
        <w:jc w:val="both"/>
      </w:pPr>
      <w:r>
        <w:rPr>
          <w:sz w:val="22"/>
          <w:szCs w:val="22"/>
          <w:b w:val="1"/>
          <w:bCs w:val="1"/>
        </w:rPr>
        <w:t xml:space="preserve">ΚΕΦΑΛΑΙΟ Ε’</w:t>
      </w:r>
    </w:p>
    <w:p>
      <w:pPr>
        <w:jc w:val="both"/>
      </w:pPr>
      <w:r>
        <w:rPr>
          <w:sz w:val="22"/>
          <w:szCs w:val="22"/>
          <w:b w:val="1"/>
          <w:bCs w:val="1"/>
        </w:rPr>
        <w:t xml:space="preserve">ΑΛΛΕΣ ΔΙΑΤΑΞΕΙΣ</w:t>
      </w:r>
    </w:p>
    <w:p>
      <w:pPr>
        <w:jc w:val="both"/>
      </w:pPr>
      <w:r>
        <w:rPr>
          <w:sz w:val="22"/>
          <w:szCs w:val="22"/>
          <w:b w:val="1"/>
          <w:bCs w:val="1"/>
        </w:rPr>
        <w:t xml:space="preserve"> </w:t>
      </w:r>
    </w:p>
    <w:p>
      <w:pPr>
        <w:jc w:val="both"/>
      </w:pPr>
      <w:r>
        <w:rPr>
          <w:sz w:val="22"/>
          <w:szCs w:val="22"/>
          <w:b w:val="1"/>
          <w:bCs w:val="1"/>
        </w:rPr>
        <w:t xml:space="preserve">Άρθρο 121</w:t>
      </w:r>
    </w:p>
    <w:p>
      <w:pPr>
        <w:jc w:val="both"/>
      </w:pPr>
      <w:r>
        <w:rPr>
          <w:sz w:val="22"/>
          <w:szCs w:val="22"/>
          <w:b w:val="1"/>
          <w:bCs w:val="1"/>
        </w:rPr>
        <w:t xml:space="preserve">Διοικητικά όργανα φορέων βυζαντινών και μεταβυζαντινών σπουδών – Τροποποίηση υποπερ. Ι περ. δ) παρ. 3 άρθρου 6 ν. 2557/1997 και προσθήκη παρ. 3 στο άρθρο 10 ν. 4505/2017</w:t>
      </w:r>
    </w:p>
    <w:p>
      <w:pPr>
        <w:numPr>
          <w:ilvl w:val="0"/>
          <w:numId w:val="96"/>
        </w:numPr>
      </w:pPr>
      <w:r>
        <w:rPr>
          <w:sz w:val="22"/>
          <w:szCs w:val="22"/>
        </w:rPr>
        <w:t xml:space="preserve">Στην υποπερ. Ι της περ. δ) της παρ. 3 του άρθρου 6 του ν. 2557/1997 (Α’ 271), περί του Συμβουλίου του νομικού προσώπου ιδιωτικού δικαίου με την επωνυμία «Ευρωπαϊκό Κέντρο Βυζαντινών και Μεταβυζαντινών Μνημείων», επέρχονται οι ακόλουθες τροποποιήσεις: α) μετά από τις λέξεις «με ειδίκευση στη Βυζαντινή Αρχαιολογία», προστίθενται οι λέξεις «ή στη Βυζαντινή Ιστορία ή έναν επί τιμή Έφορο Αρχαιοτήτων του Υπουργείου Πολιτισμού με ειδίκευση στη Βυζαντινή Αρχαιολογία», β) μετά από τις λέξεις «ή επίκουρο καθηγητή», προτίθενται οι λέξεις «ή επί τιμή Έφορο Αρχαιοτήτων του Υπουργείου Πολιτισμού», γ) οι λέξεις «της ίδιας ειδικότητας αντικαθίστανται από τις λέξεις «των ίδιων ειδικοτήτων» και η υποπερ. Ι’ αντικαθίσταται ως εξής:</w:t>
      </w:r>
    </w:p>
    <w:p>
      <w:pPr>
        <w:jc w:val="both"/>
      </w:pPr>
      <w:r>
        <w:rPr>
          <w:sz w:val="22"/>
          <w:szCs w:val="22"/>
        </w:rPr>
        <w:t xml:space="preserve">«Ι. Έναν καθηγητή ή αναπληρωτή καθηγητή Α.Ε.Ι. με ειδίκευση στη Βυζαντινή Αρχαιολογία ή στη Βυζαντινή Ιστορία ή έναν επί τιμή Έφορο Αρχαιοτήτων του Υπουργείου Πολιτισμού με ειδίκευση στη Βυζαντινή Αρχαιολογία, ως Πρόεδρο, αναπληρούμενο από καθηγητή ή αναπληρωτή καθηγητή ή επίκουρο καθηγητή ή επί τιμή Έφορο Αρχαιοτήτων του Υπουργείου Πολιτισμού των ίδιων ειδικοτήτων.».</w:t>
      </w:r>
    </w:p>
    <w:p>
      <w:pPr>
        <w:numPr>
          <w:ilvl w:val="0"/>
          <w:numId w:val="97"/>
        </w:numPr>
      </w:pPr>
      <w:r>
        <w:rPr>
          <w:sz w:val="22"/>
          <w:szCs w:val="22"/>
        </w:rPr>
        <w:t xml:space="preserve">Στο άρθρο 10 του ν. 4505/2017 (Α’ 189), περί μεταβατικών διατάξεων, προστίθεται παρ. 3 ως εξής:</w:t>
      </w:r>
    </w:p>
    <w:p>
      <w:pPr>
        <w:jc w:val="both"/>
      </w:pPr>
      <w:r>
        <w:rPr>
          <w:sz w:val="22"/>
          <w:szCs w:val="22"/>
        </w:rPr>
        <w:t xml:space="preserve">«3. Μέχρι την ολοκλήρωση της διαδικασίας της παρ. 3 του άρθρου 4 και την ανάληψη καθηκόντων του νέου Προέδρου του Ελληνικού Ινστιτούτου Βυζαντινών και Μεταβυζαντινών Σπουδών, η θητεία του υπηρετούντος Προέδρου παρατείνεται από τη λήξη της, αυτοδικαίως και πέραν του χρονικού διαστήματος της παρ. 4 του άρθρου 4, για διάρκεια όχι μεγαλύτερη του ενός (1) έτους.»</w:t>
      </w:r>
    </w:p>
    <w:p>
      <w:pPr>
        <w:jc w:val="both"/>
      </w:pPr>
      <w:r>
        <w:rPr>
          <w:sz w:val="22"/>
          <w:szCs w:val="22"/>
        </w:rPr>
        <w:t xml:space="preserve"> </w:t>
      </w:r>
    </w:p>
    <w:p>
      <w:pPr>
        <w:jc w:val="both"/>
      </w:pPr>
      <w:r>
        <w:rPr>
          <w:sz w:val="22"/>
          <w:szCs w:val="22"/>
          <w:b w:val="1"/>
          <w:bCs w:val="1"/>
        </w:rPr>
        <w:t xml:space="preserve">Άρθρο 122</w:t>
      </w:r>
    </w:p>
    <w:p>
      <w:pPr>
        <w:jc w:val="both"/>
      </w:pPr>
      <w:r>
        <w:rPr>
          <w:sz w:val="22"/>
          <w:szCs w:val="22"/>
          <w:b w:val="1"/>
          <w:bCs w:val="1"/>
        </w:rPr>
        <w:t xml:space="preserve">Μητρώο Απασχολούμενων στον Πολιτισμό – Τροποποίηση άρθρων 108 και 109 ν. 5039/2023</w:t>
      </w:r>
    </w:p>
    <w:p>
      <w:pPr>
        <w:jc w:val="both"/>
      </w:pPr>
      <w:r>
        <w:rPr>
          <w:sz w:val="22"/>
          <w:szCs w:val="22"/>
          <w:b w:val="1"/>
          <w:bCs w:val="1"/>
        </w:rPr>
        <w:t xml:space="preserve"> </w:t>
      </w:r>
    </w:p>
    <w:p>
      <w:pPr>
        <w:numPr>
          <w:ilvl w:val="0"/>
          <w:numId w:val="98"/>
        </w:numPr>
      </w:pPr>
      <w:r>
        <w:rPr>
          <w:sz w:val="22"/>
          <w:szCs w:val="22"/>
        </w:rPr>
        <w:t xml:space="preserve">Στην παρ. 3 του άρθρου 108 του ν. 5039/2023 (Α’ 83), περί σύστασης του Μητρώου Απασχολούμενων στον Πολιτισμό και αρμόδιας υπηρεσίας λειτουργίας, οι λέξεις «του Ταμείου Επικουρικής Κεφαλαιοποιητικής Ασφάλισης (Τ.Ε.Κ.Α.)» αντικαθίστανται από τις λέξεις «της Δημόσιας Υπηρεσίας Απασχόλησης (Δ.Υ.Π.Α.)» και η παρ. 3 διαμορφώνεται ως εξής:</w:t>
      </w:r>
    </w:p>
    <w:p>
      <w:pPr>
        <w:jc w:val="both"/>
      </w:pPr>
      <w:r>
        <w:rPr>
          <w:sz w:val="22"/>
          <w:szCs w:val="22"/>
        </w:rPr>
        <w:t xml:space="preserve">«3. Για την εκπλήρωση των σκοπών του παρόντος, το ΜΑΠ διασυνδέεται ηλεκτρονικά, μέσω του Κέντρου Διαλειτουργικότητας της Γενικής Γραμματείας Πληροφοριακών Συστημάτων Δημόσιας Διοίκησης (Γ.Γ.Π.Σ.Δ.Δ.) του Υπουργείου Ψηφιακής Διακυβέρνησης, σύμφωνα με τα άρθρα 47 του ν. </w:t>
      </w:r>
      <w:hyperlink r:id="rId14" w:history="1">
        <w:r>
          <w:rPr/>
          <w:t xml:space="preserve">4623/2019</w:t>
        </w:r>
      </w:hyperlink>
      <w:r>
        <w:rPr>
          <w:sz w:val="22"/>
          <w:szCs w:val="22"/>
        </w:rPr>
        <w:t xml:space="preserve"> (Α’ 134), περί των δεδομένων του δημοσίου τομέα, και 84 του ν. </w:t>
      </w:r>
      <w:hyperlink r:id="rId15" w:history="1">
        <w:r>
          <w:rPr/>
          <w:t xml:space="preserve">4727/2020</w:t>
        </w:r>
      </w:hyperlink>
      <w:r>
        <w:rPr>
          <w:sz w:val="22"/>
          <w:szCs w:val="22"/>
        </w:rPr>
        <w:t xml:space="preserve"> (Α’ 184), περί της διαλειτουργικότητας των φορέων του δημοσίου τομέα, με τις βάσεις δεδομένων του Πληροφορικού Συστήματος ΕΡΓΑΝΗ ΙΙ (Π.Σ. ΕΡΓΑΝΗ ΙΙ), του Ηλεκτρονικού Εθνικού Φορέα Κοινωνικής Ασφάλισης (e-Ε.Φ.Κ.Α.), της Δημόσιας Υπηρεσίας Απασχόλησης (Δ.ΥΠ.Α.), καθώς και με το Ολοκληρωμένο Πληροφοριακό Σύστημα Φορολογίας (Taxis).».</w:t>
      </w:r>
    </w:p>
    <w:p>
      <w:pPr>
        <w:numPr>
          <w:ilvl w:val="0"/>
          <w:numId w:val="99"/>
        </w:numPr>
      </w:pPr>
      <w:r>
        <w:rPr>
          <w:sz w:val="22"/>
          <w:szCs w:val="22"/>
        </w:rPr>
        <w:t xml:space="preserve">Στην παρ. 4 του άρθρου 108 του ν. 5039/2023 επέρχονται οι ακόλουθες τροποποιήσεις: α) στις περ. β) και γ), οι λέξεις «και το Τ.Ε.Κ.Α.», όπου αυτές αναφέρονται, διαγράφονται, β) στην περ. ε), βα) οι λέξεις «από την άσκηση επιχειρηματικής δραστηριότητας» διαγράφονται, ββ) οι λέξεις «έχει δηλώσει, υπό την προϋπόθεση ότι όλοι οι ενεργοί του ΚΑΔ για κάθε έτος, αποτελούν ΚΑΔ πολιτιστικού και δημιουργικού τομέα ή ΚΑΔ υποστηρικτικών δραστηριοτήτων» αντικαθίστανται από τις λέξεις «έχει δηλώσει ανά έτος από την άσκηση επιχειρηματικής δραστηριότητας για τους ΚΑΔ του πολιτιστικού και δημιουργικού τομέα και τους ΚΑΔ των υποστηρικτικών δραστηριοτήτων» και η παρ. 4 διαμορφώνεται ως εξής:</w:t>
      </w:r>
    </w:p>
    <w:p>
      <w:pPr>
        <w:jc w:val="both"/>
      </w:pPr>
      <w:r>
        <w:rPr>
          <w:sz w:val="22"/>
          <w:szCs w:val="22"/>
        </w:rPr>
        <w:t xml:space="preserve">«4. Το ΜΑΠ αντλεί από τις βάσεις με τις οποίες διαλειτουργεί τα ακόλουθα στοιχεία εκάστου φυσικού προσώπου, το οποίο εμπίπτει στους ορισμούς των παρ. 2, 3, 5 και 6 του άρθρου 107:</w:t>
      </w:r>
    </w:p>
    <w:p>
      <w:pPr>
        <w:jc w:val="both"/>
      </w:pPr>
      <w:r>
        <w:rPr>
          <w:sz w:val="22"/>
          <w:szCs w:val="22"/>
        </w:rPr>
        <w:t xml:space="preserve">α) Το σύνολο των ημερών απασχόλησής του κατ’ έτος, όπως αυτό αντλείται από το Π.Σ. ΕΡΓΑΝΗ ΙΙ,</w:t>
      </w:r>
    </w:p>
    <w:p>
      <w:pPr>
        <w:jc w:val="both"/>
      </w:pPr>
      <w:r>
        <w:rPr>
          <w:sz w:val="22"/>
          <w:szCs w:val="22"/>
        </w:rPr>
        <w:t xml:space="preserve">β) την ασφαλιστική του κατάσταση, όπως αντλείται από τον e-Ε.Φ.Κ.Α.,</w:t>
      </w:r>
    </w:p>
    <w:p>
      <w:pPr>
        <w:jc w:val="both"/>
      </w:pPr>
      <w:r>
        <w:rPr>
          <w:sz w:val="22"/>
          <w:szCs w:val="22"/>
        </w:rPr>
        <w:t xml:space="preserve">γ) τις ημέρες ασφάλισής του κατ’ έτος, όπως αντλούνται από τον e-Ε.Φ.Κ.Α.,</w:t>
      </w:r>
    </w:p>
    <w:p>
      <w:pPr>
        <w:jc w:val="both"/>
      </w:pPr>
      <w:r>
        <w:rPr>
          <w:sz w:val="22"/>
          <w:szCs w:val="22"/>
        </w:rPr>
        <w:t xml:space="preserve">δ) την ημεροχρονολογία έναρξης δραστηριότητας, καθώς και τους ΚΑΔ υπό τους οποίους δραστηριοποιείται κάθε φυσικό πρόσωπο,</w:t>
      </w:r>
    </w:p>
    <w:p>
      <w:pPr>
        <w:jc w:val="both"/>
      </w:pPr>
      <w:r>
        <w:rPr>
          <w:sz w:val="22"/>
          <w:szCs w:val="22"/>
        </w:rPr>
        <w:t xml:space="preserve">ε) τα ετήσια εισοδήματα, τα οποία κάθε δραστηριοποιούμενος έχει δηλώσει ανά έτος από την άσκηση επιχειρηματικής δραστηριότητας για τους ΚΑΔ του πολιτιστικού και δημιουργικού τομέα και τους ΚΑΔ των υποστηρικτικών δραστηριοτήτων του πολιτιστικού και δημιουργικού τομέα.».</w:t>
      </w:r>
    </w:p>
    <w:p>
      <w:pPr>
        <w:numPr>
          <w:ilvl w:val="0"/>
          <w:numId w:val="100"/>
        </w:numPr>
      </w:pPr>
      <w:r>
        <w:rPr>
          <w:sz w:val="22"/>
          <w:szCs w:val="22"/>
        </w:rPr>
        <w:t xml:space="preserve">Στις περ. β) και γ) της παρ. 3 του άρθρου 109 του ν. 5039/2023, περί προσωπικού λογαριασμού εγγεγραμμένων στο Μητρώο Απασχολούμενων στον Πολιτισμό, οι λέξεις «και το Τ.Ε.Κ.Α.» διαγράφονται και η παρ. 3 διαμορφώνεται ως εξής:</w:t>
      </w:r>
    </w:p>
    <w:p>
      <w:pPr>
        <w:jc w:val="both"/>
      </w:pPr>
      <w:r>
        <w:rPr>
          <w:sz w:val="22"/>
          <w:szCs w:val="22"/>
        </w:rPr>
        <w:t xml:space="preserve">«3. Από και με την εγγραφή στο ΜΑΠ δημιουργείται προσωπικός λογαριασμός εκάστου εγγεγραμμένου φυσικού προσώπου, στον οποίο αποτυπώνονται:</w:t>
      </w:r>
    </w:p>
    <w:p>
      <w:pPr>
        <w:jc w:val="both"/>
      </w:pPr>
      <w:r>
        <w:rPr>
          <w:sz w:val="22"/>
          <w:szCs w:val="22"/>
        </w:rPr>
        <w:t xml:space="preserve">α) Το σύνολο των ημερών απασχόλησής του κατ’ έτος, όπως αυτά αντλούνται από το Π.Σ. ΕΡΓΑΝΗ ΙΙ,</w:t>
      </w:r>
    </w:p>
    <w:p>
      <w:pPr>
        <w:jc w:val="both"/>
      </w:pPr>
      <w:r>
        <w:rPr>
          <w:sz w:val="22"/>
          <w:szCs w:val="22"/>
        </w:rPr>
        <w:t xml:space="preserve">β) η ασφαλιστική του κατάσταση, όπως αντλείται από τον e-Ε.Φ.Κ.Α.,</w:t>
      </w:r>
    </w:p>
    <w:p>
      <w:pPr>
        <w:jc w:val="both"/>
      </w:pPr>
      <w:r>
        <w:rPr>
          <w:sz w:val="22"/>
          <w:szCs w:val="22"/>
        </w:rPr>
        <w:t xml:space="preserve">γ) οι ημέρες ασφάλισής του κατ’ έτος, όπως αντλούνται από τον e-Ε.Φ.Κ.Α.,</w:t>
      </w:r>
    </w:p>
    <w:p>
      <w:pPr>
        <w:jc w:val="both"/>
      </w:pPr>
      <w:r>
        <w:rPr>
          <w:sz w:val="22"/>
          <w:szCs w:val="22"/>
        </w:rPr>
        <w:t xml:space="preserve">δ) η ημεροχρονολογία έναρξης δραστηριότητας, καθώς και οι ΚΑΔ υπό τους οποίους δραστηριοποιείται κάθε εγγεγραμμένος και</w:t>
      </w:r>
    </w:p>
    <w:p>
      <w:pPr>
        <w:jc w:val="both"/>
      </w:pPr>
      <w:r>
        <w:rPr>
          <w:sz w:val="22"/>
          <w:szCs w:val="22"/>
        </w:rPr>
        <w:t xml:space="preserve">ε) τα ετήσια εισοδήματα από την άσκηση επιχειρηματικής δραστηριότητας κατ’ έτος, τα οποία ο εγγεγραμμένος έχει δηλώσει, εφόσον όλοι οι ενεργοί του ΚΑΔ καθ’ έκαστο έτος, αποτελούν ΚΑΔ του πολιτιστικού και δημιουργικού τομέα ή ΚΑΔ υποστηρικτικών δραστηριοτήτων του πολιτιστικού και δημιουργικού τομέα.».</w:t>
      </w:r>
    </w:p>
    <w:p>
      <w:pPr>
        <w:jc w:val="both"/>
      </w:pPr>
      <w:r>
        <w:rPr>
          <w:sz w:val="22"/>
          <w:szCs w:val="22"/>
        </w:rPr>
        <w:t xml:space="preserve"> </w:t>
      </w:r>
    </w:p>
    <w:p>
      <w:pPr>
        <w:jc w:val="both"/>
      </w:pPr>
      <w:r>
        <w:rPr>
          <w:sz w:val="22"/>
          <w:szCs w:val="22"/>
          <w:b w:val="1"/>
          <w:bCs w:val="1"/>
        </w:rPr>
        <w:t xml:space="preserve">Άρθρο 123</w:t>
      </w:r>
    </w:p>
    <w:p>
      <w:pPr>
        <w:jc w:val="both"/>
      </w:pPr>
      <w:r>
        <w:rPr>
          <w:sz w:val="22"/>
          <w:szCs w:val="22"/>
          <w:b w:val="1"/>
          <w:bCs w:val="1"/>
        </w:rPr>
        <w:t xml:space="preserve">Παράταση προθεσμίας περάτωσης της εκκαθάρισης του Ταμείου Αλληλοβοήθειας Υπαλλήλων του Υπουργείου Πολιτισμού</w:t>
      </w:r>
    </w:p>
    <w:p>
      <w:pPr>
        <w:numPr>
          <w:ilvl w:val="0"/>
          <w:numId w:val="101"/>
        </w:numPr>
      </w:pPr>
      <w:r>
        <w:rPr>
          <w:sz w:val="22"/>
          <w:szCs w:val="22"/>
        </w:rPr>
        <w:t xml:space="preserve">Η προθεσμία περάτωσης της εκκαθάρισης της παρ. 2 του άρθρου δέκατου ένατου του ν. 4639/2019 (Α’ 185), περί θέσης του Ταμείου Αλληλοβοήθειας Υπαλλήλων Υπουργείου Πολιτισμού και Αθλητισμού σε εκκαθάριση, παρατείνεται έως την 31η.12.2026.</w:t>
      </w:r>
    </w:p>
    <w:p>
      <w:pPr>
        <w:numPr>
          <w:ilvl w:val="0"/>
          <w:numId w:val="101"/>
        </w:numPr>
      </w:pPr>
      <w:r>
        <w:rPr>
          <w:sz w:val="22"/>
          <w:szCs w:val="22"/>
        </w:rPr>
        <w:t xml:space="preserve">Η παράταση της παρ. 1 δεν συνεπάγεται την παράταση των οικείων δημοσίων συμβάσεων που εμπίπτουν στο πεδίο εφαρμογής του ν. 4412/2016 (Α’ 147).</w:t>
      </w:r>
    </w:p>
    <w:p>
      <w:pPr>
        <w:jc w:val="both"/>
      </w:pPr>
      <w:r>
        <w:rPr>
          <w:sz w:val="22"/>
          <w:szCs w:val="22"/>
        </w:rPr>
        <w:t xml:space="preserve"> </w:t>
      </w:r>
    </w:p>
    <w:p>
      <w:pPr>
        <w:jc w:val="both"/>
      </w:pPr>
      <w:r>
        <w:rPr>
          <w:sz w:val="22"/>
          <w:szCs w:val="22"/>
          <w:b w:val="1"/>
          <w:bCs w:val="1"/>
        </w:rPr>
        <w:t xml:space="preserve">Άρθρο 124</w:t>
      </w:r>
    </w:p>
    <w:p>
      <w:pPr>
        <w:jc w:val="both"/>
      </w:pPr>
      <w:r>
        <w:rPr>
          <w:sz w:val="22"/>
          <w:szCs w:val="22"/>
          <w:b w:val="1"/>
          <w:bCs w:val="1"/>
        </w:rPr>
        <w:t xml:space="preserve">Διοικητικό Συμβούλιο του Μουσείου Ακρόπολης – Τροποποίηση παρ. 1 άρθρου 6 ν. 3711/2008</w:t>
      </w:r>
    </w:p>
    <w:p>
      <w:pPr>
        <w:jc w:val="both"/>
      </w:pPr>
      <w:r>
        <w:rPr>
          <w:sz w:val="22"/>
          <w:szCs w:val="22"/>
          <w:b w:val="1"/>
          <w:bCs w:val="1"/>
        </w:rPr>
        <w:t xml:space="preserve"> </w:t>
      </w:r>
    </w:p>
    <w:p>
      <w:pPr>
        <w:jc w:val="both"/>
      </w:pPr>
      <w:r>
        <w:rPr>
          <w:sz w:val="22"/>
          <w:szCs w:val="22"/>
        </w:rPr>
        <w:t xml:space="preserve">Στην παρ. 1 του άρθρου 6 του ν. 3711/ 2008 (Α’ 224), περί του Διοικητικού Συμβουλίου του Μουσείου Ακρόπολης, επέρχονται οι ακόλουθες τροποποιήσεις: α) στο εισαγωγικό εδάφιο η λέξη «εννέα» αντικαθίσταται από τη λέξη και τον αριθμό «επτά (7)», β) στην περ. α) η λέξη και ο αριθμός «Επτά (7)» αντικαθίστανται από τη λέξη και τον αριθμό «τέσσερα (4)», γ) προστίθεται περ. δ), και η παρ. 1, μετά από νομοτεχνικές βελτιώσεις, διαμορφώνεται ως εξής:</w:t>
      </w:r>
    </w:p>
    <w:p>
      <w:pPr>
        <w:jc w:val="both"/>
      </w:pPr>
      <w:r>
        <w:rPr>
          <w:sz w:val="22"/>
          <w:szCs w:val="22"/>
        </w:rPr>
        <w:t xml:space="preserve"> </w:t>
      </w:r>
    </w:p>
    <w:p>
      <w:pPr>
        <w:jc w:val="both"/>
      </w:pPr>
      <w:r>
        <w:rPr>
          <w:sz w:val="22"/>
          <w:szCs w:val="22"/>
        </w:rPr>
        <w:t xml:space="preserve">«1. Με απόφαση του Υπουργού Πολιτισμού, η οποία δημοσιεύεται στην Εφημερίδα της Κυβερνήσεως, συγκροτείται το Διοικητικό Συμβούλιο (Δ.Σ.) του Μουσείου που αποτελείται από επτά (7) μέλη, συμπεριλαμβανομένου του Προέδρου, ως εξής:</w:t>
      </w:r>
    </w:p>
    <w:p>
      <w:pPr>
        <w:jc w:val="both"/>
      </w:pPr>
      <w:r>
        <w:rPr>
          <w:sz w:val="22"/>
          <w:szCs w:val="22"/>
        </w:rPr>
        <w:t xml:space="preserve">α) τέσσερα (4) μέλη επιλέγονται μεταξύ προσωπικοτήτων αναγνωρισμένου κύρους των τεχνών, των Γραμμάτων και των Επιστημών,</w:t>
      </w:r>
    </w:p>
    <w:p>
      <w:pPr>
        <w:jc w:val="both"/>
      </w:pPr>
      <w:r>
        <w:rPr>
          <w:sz w:val="22"/>
          <w:szCs w:val="22"/>
        </w:rPr>
        <w:t xml:space="preserve">β) τον προϊστάμενο της Α` Εφορίας Προϊστορικών και Κλασσικών Αρχαιοτήτων,</w:t>
      </w:r>
    </w:p>
    <w:p>
      <w:pPr>
        <w:jc w:val="both"/>
      </w:pPr>
      <w:r>
        <w:rPr>
          <w:sz w:val="22"/>
          <w:szCs w:val="22"/>
        </w:rPr>
        <w:t xml:space="preserve">γ) ένα (1) μέλος της Επιτροπής Συντήρησης Μνημείων Ακρόπολης (ΕΣΜΑ) και</w:t>
      </w:r>
    </w:p>
    <w:p>
      <w:pPr>
        <w:jc w:val="both"/>
      </w:pPr>
      <w:r>
        <w:rPr>
          <w:sz w:val="22"/>
          <w:szCs w:val="22"/>
        </w:rPr>
        <w:t xml:space="preserve">δ) ένα (1) μέλος, το οποίο υποδεικνύεται από την Πανελλήνια Ομοσπονδία Εργαζομένων του Υπουργείου Πολιτισμού.</w:t>
      </w:r>
    </w:p>
    <w:p>
      <w:pPr>
        <w:jc w:val="both"/>
      </w:pPr>
      <w:r>
        <w:rPr>
          <w:sz w:val="22"/>
          <w:szCs w:val="22"/>
        </w:rPr>
        <w:t xml:space="preserve">Τα προβλεπόμενα στην παρούσα μέλη του Δ.Σ. είναι μη εκτελεστικά, με εξαίρεση τον Πρόεδρό του.».</w:t>
      </w:r>
    </w:p>
    <w:p>
      <w:pPr>
        <w:jc w:val="both"/>
      </w:pPr>
      <w:r>
        <w:rPr>
          <w:sz w:val="22"/>
          <w:szCs w:val="22"/>
          <w:b w:val="1"/>
          <w:bCs w:val="1"/>
        </w:rPr>
        <w:t xml:space="preserve"> </w:t>
      </w:r>
    </w:p>
    <w:p>
      <w:pPr>
        <w:jc w:val="both"/>
      </w:pPr>
      <w:r>
        <w:rPr>
          <w:sz w:val="22"/>
          <w:szCs w:val="22"/>
          <w:b w:val="1"/>
          <w:bCs w:val="1"/>
        </w:rPr>
        <w:t xml:space="preserve">Άρθρο 125</w:t>
      </w:r>
    </w:p>
    <w:p>
      <w:pPr>
        <w:jc w:val="both"/>
      </w:pPr>
      <w:r>
        <w:rPr>
          <w:sz w:val="22"/>
          <w:szCs w:val="22"/>
          <w:b w:val="1"/>
          <w:bCs w:val="1"/>
        </w:rPr>
        <w:t xml:space="preserve">Ρυθμίσεις για το προσωπικό του Υπουργείου Πολιτισμού που απασχολείται σε έργα του Προγράμματος «Αντώνης Τρίτσης»</w:t>
      </w:r>
    </w:p>
    <w:p>
      <w:pPr>
        <w:jc w:val="both"/>
      </w:pPr>
      <w:r>
        <w:rPr>
          <w:sz w:val="22"/>
          <w:szCs w:val="22"/>
        </w:rPr>
        <w:t xml:space="preserve">Για το προσωπικό που προσλαμβάνεται σε έργα που εκτελούνται με αυτεπιστασία από το Υπουργείο Πολιτισμού και έχουν υπαχθεί στο Πρόγραμμα «Αντώνης Τρίτσης», εφαρμόζονται η περ. η) της παρ. 2 του άρθρου 2 του ν. 4765/2021 (Α’ 6), περί εξαίρεσης από την πλήρωση θέσεων με πανελλήνιο γραπτό διαγωνισμό και τις άλλες διαδικασίες επιλογής προσωπικού, και οι περ. α) και β) της παρ. 1 του άρθρου 10 του π.δ. 24/2019 (Α’ 39), περί πρόσληψης προσωπικού ιδιωτικού δικαίου ορισμένου χρόνου σε έργα του Υπουργείου Πολιτισμού. Το προσωπικό του πρώτου εδαφίου εξαιρείται από το πεδίο εφαρμογής του άρθρου 51 του ν. 4622/2019 (Α’ 133), περί ετήσιου προγραμματισμού ανθρώπινου δυναμικού του δημόσιου τομέα. Η ρύθμιση του πρώτου εδαφίου ισχύει από την έκδοση της απόφασης αυτεπιστασίας για την εκτέλεση κάθε έργου.</w:t>
      </w:r>
    </w:p>
    <w:p>
      <w:pPr>
        <w:jc w:val="both"/>
      </w:pPr>
      <w:r>
        <w:rPr>
          <w:sz w:val="22"/>
          <w:szCs w:val="22"/>
        </w:rPr>
        <w:t xml:space="preserve"> </w:t>
      </w:r>
    </w:p>
    <w:p>
      <w:pPr>
        <w:jc w:val="both"/>
      </w:pPr>
      <w:r>
        <w:rPr>
          <w:sz w:val="22"/>
          <w:szCs w:val="22"/>
          <w:b w:val="1"/>
          <w:bCs w:val="1"/>
        </w:rPr>
        <w:t xml:space="preserve">ΚΕΦΑΛΑΙΟ ΣΤ’</w:t>
      </w:r>
    </w:p>
    <w:p>
      <w:pPr>
        <w:jc w:val="both"/>
      </w:pPr>
      <w:r>
        <w:rPr>
          <w:sz w:val="22"/>
          <w:szCs w:val="22"/>
          <w:b w:val="1"/>
          <w:bCs w:val="1"/>
        </w:rPr>
        <w:t xml:space="preserve">ΕΞΟΥΣΙΟΔΟΤΙΚΗ ΔΙΑΤΑΞΗ – ΜΕΤΑΒΑΤΙΚΗ ΔΙΑΤΑΞΗ ΜΕΡΟΥΣ Ε’</w:t>
      </w:r>
    </w:p>
    <w:p>
      <w:pPr>
        <w:jc w:val="both"/>
      </w:pPr>
      <w:r>
        <w:rPr>
          <w:sz w:val="22"/>
          <w:szCs w:val="22"/>
          <w:b w:val="1"/>
          <w:bCs w:val="1"/>
        </w:rPr>
        <w:t xml:space="preserve"> </w:t>
      </w:r>
    </w:p>
    <w:p>
      <w:pPr>
        <w:jc w:val="both"/>
      </w:pPr>
      <w:r>
        <w:rPr>
          <w:sz w:val="22"/>
          <w:szCs w:val="22"/>
          <w:b w:val="1"/>
          <w:bCs w:val="1"/>
        </w:rPr>
        <w:t xml:space="preserve">Άρθρο 126</w:t>
      </w:r>
    </w:p>
    <w:p>
      <w:pPr>
        <w:jc w:val="both"/>
      </w:pPr>
      <w:r>
        <w:rPr>
          <w:sz w:val="22"/>
          <w:szCs w:val="22"/>
          <w:b w:val="1"/>
          <w:bCs w:val="1"/>
        </w:rPr>
        <w:t xml:space="preserve">Καθορισμός μηνιαίας αποζημίωσης στον Προέδρο, στον Αντιπρόεδρο και στα μέλη του Διοικητικού Συμβουλίου του Οργανισμού Πνευματικής Ιδιοκτησίας</w:t>
      </w:r>
    </w:p>
    <w:p>
      <w:pPr>
        <w:jc w:val="both"/>
      </w:pPr>
      <w:r>
        <w:rPr>
          <w:sz w:val="22"/>
          <w:szCs w:val="22"/>
          <w:b w:val="1"/>
          <w:bCs w:val="1"/>
        </w:rPr>
        <w:t xml:space="preserve"> </w:t>
      </w:r>
    </w:p>
    <w:p>
      <w:pPr>
        <w:jc w:val="both"/>
      </w:pPr>
      <w:r>
        <w:rPr>
          <w:sz w:val="22"/>
          <w:szCs w:val="22"/>
        </w:rPr>
        <w:t xml:space="preserve">Με κοινή απόφαση των Υπουργών Πολιτισμού και Εθνικής Οικονομίας και Οικονομικών καθορίζονται, σύμφωνα με την παρ. 3 του άρθρου 22 του ν. 4354/2015 (Α` 176), η μηνιαία αποζημίωση που καταβάλλεται στον Πρόεδρο του Διοικητικού Συμβουλίου (Δ.Σ.) και η αποζημίωση ανά συνεδρίαση που καταβάλλεται στον Αντιπρόεδρο, τα μέλη και τον γραμματέα του Δ.Σ. του Οργανισμού Πνευματικής Ιδιοκτησίας.</w:t>
      </w:r>
    </w:p>
    <w:p>
      <w:pPr>
        <w:jc w:val="both"/>
      </w:pPr>
      <w:r>
        <w:rPr>
          <w:sz w:val="22"/>
          <w:szCs w:val="22"/>
          <w:b w:val="1"/>
          <w:bCs w:val="1"/>
        </w:rPr>
        <w:t xml:space="preserve"> </w:t>
      </w:r>
    </w:p>
    <w:p>
      <w:pPr>
        <w:jc w:val="both"/>
      </w:pPr>
      <w:r>
        <w:rPr>
          <w:sz w:val="22"/>
          <w:szCs w:val="22"/>
          <w:b w:val="1"/>
          <w:bCs w:val="1"/>
        </w:rPr>
        <w:t xml:space="preserve">Άρθρο 127</w:t>
      </w:r>
    </w:p>
    <w:p>
      <w:pPr>
        <w:jc w:val="both"/>
      </w:pPr>
      <w:r>
        <w:rPr>
          <w:sz w:val="22"/>
          <w:szCs w:val="22"/>
          <w:b w:val="1"/>
          <w:bCs w:val="1"/>
        </w:rPr>
        <w:t xml:space="preserve">Μεταβατική διάταξη</w:t>
      </w:r>
    </w:p>
    <w:p>
      <w:pPr>
        <w:jc w:val="both"/>
      </w:pPr>
      <w:r>
        <w:rPr>
          <w:sz w:val="22"/>
          <w:szCs w:val="22"/>
          <w:b w:val="1"/>
          <w:bCs w:val="1"/>
        </w:rPr>
        <w:t xml:space="preserve"> </w:t>
      </w:r>
    </w:p>
    <w:p>
      <w:pPr>
        <w:jc w:val="both"/>
      </w:pPr>
      <w:r>
        <w:rPr>
          <w:sz w:val="22"/>
          <w:szCs w:val="22"/>
        </w:rPr>
        <w:t xml:space="preserve">Αν έως την 1η.8.2026 δεν έχει επιτευχθεί μεταξύ των δικαιούχων η συμφωνία της παρ. 9 του άρθρου 18 του ν. 2121/1993 (Α’ 25), η απόφαση του Οργανισμού Πνευματικής Ιδιοκτησίας για την κατανομή της εύλογης αμοιβής του έτους 2025 εφαρμόζεται και για τα έτη 2026 και 2027. Κατά τα λοιπά, εφαρμόζεται η παρ. 9 του άρθρου 18 του ν. 2121/1993, όπως τροποποιείται με το άρθρο 117 του παρόντος.</w:t>
      </w:r>
    </w:p>
    <w:p/>
    <w:p>
      <w:pPr/>
      <w:r>
        <w:rPr>
          <w:sz w:val="22"/>
          <w:szCs w:val="22"/>
          <w:b w:val="1"/>
          <w:bCs w:val="1"/>
        </w:rPr>
        <w:t xml:space="preserve">Σχόλια επί της ενότητας 5</w:t>
      </w:r>
    </w:p>
    <w:p>
      <w:pPr/>
      <w:r>
        <w:rPr>
          <w:b w:val="1"/>
          <w:bCs w:val="1"/>
        </w:rPr>
        <w:t xml:space="preserve">ΕΛΕΝΑ – 10 Ιουλίου 2026, 00:41</w:t>
      </w:r>
    </w:p>
    <w:p>
      <w:pPr/>
      <w:r>
        <w:rPr/>
        <w:t xml:space="preserve">Αρθρο 123</w:t>
      </w:r>
    </w:p>
    <w:p/>
    <w:p>
      <w:pPr/>
      <w:r>
        <w:rPr/>
        <w:t xml:space="preserve">Από το 2019, το Ταμείο Αλληλοβοήθειας τέλει σε εκκαθάριση διότι η Υπουργος κάθε χρόνο την παρατείνει για τον επόμενο, χωρίς να αναφέρει ούτε το λόγο για τον οποίο η εκκαθάριση δεν ολοκληρώθηκε, ούτε αν έχει καν αρχίσει ! Τι θα βγάλει τελικά αυτή η εκκαθάριση και γιατί την αποφεύγουμε 7 χρόνια τώρα;;;</w:t>
      </w:r>
    </w:p>
    <w:p/>
    <w:p>
      <w:pPr/>
      <w:r>
        <w:rPr>
          <w:b w:val="1"/>
          <w:bCs w:val="1"/>
        </w:rPr>
        <w:t xml:space="preserve">Γιώργος Μπαμπέτας – 10 Ιουλίου 2026, 14:59</w:t>
      </w:r>
    </w:p>
    <w:p>
      <w:pPr/>
      <w:r>
        <w:rPr/>
        <w:t xml:space="preserve">Το σχόλιο αφορά στο άρθρο 115</w:t>
      </w:r>
    </w:p>
    <w:p/>
    <w:p/>
    <w:p/>
    <w:p>
      <w:pPr/>
      <w:r>
        <w:rPr/>
        <w:t xml:space="preserve">1. Η προσθήκη της φράσης είναι εύστοχη, εφ' όσον η εύλογη αμοιβή του άρθρ. 49  ν. 2121/1993 είναι, σύμφωνα με την νομολογία του ΔικΕΕ, δικαίωμα οικονομικής ανταποδόσεως που δεν μπορεί να ασκηθεί πριν να λάβει χώρα η παρουσίαση στο κοινό/δημόσια εκτέλεση/ραδιοτηλεοπτική μέταδοση του αντικειμένου προστασίας.</w:t>
      </w:r>
    </w:p>
    <w:p/>
    <w:p>
      <w:pPr/>
      <w:r>
        <w:rPr/>
        <w:t xml:space="preserve">2. Πράγματι, πριν από τις άνω πράξεις δεν υφίσταται η απαίτηση αυτή εκ του άρθρ. 49 ν. 2121/1993, ούτε κάποιο άλλο δικαίωμα, το οποίο δύναται να ρυθμιστεί με απόφαση του δικαστηρίου, λ.χ. καθορίζεται η αμοιβή για μελλοντική χρήση.</w:t>
      </w:r>
    </w:p>
    <w:p/>
    <w:p>
      <w:pPr/>
      <w:r>
        <w:rPr/>
        <w:t xml:space="preserve">3. Υπό την έννοια αυτή, η υποστηριζόμενη από μερίδα της νομολογίας ότι μετά από την χρήση δεν επιτρέπεται προσωρινός καθορισμός της εύλογης αμοιβής, αλλά επιτρέπεται μόνον ο οριστικός, στερούσε από την διάταξη κάθε πεδίο εφαρμογής. Αφού πάντοτε θα πρέπει να έχει προηγηθεί η χρήση.</w:t>
      </w:r>
    </w:p>
    <w:p/>
    <w:p>
      <w:pPr/>
      <w:r>
        <w:rPr/>
        <w:t xml:space="preserve">4. Επομένως, η τροποποίηση αίρει την νομολογιακή έρειδα, συμβάλλει στην προβλεψιμότητα των δικαστικών αποφάσεων, θάλπει την ασφάλεια των συναλλαγών και είναι απολύτως επιτυχής και εύστοχη.</w:t>
      </w:r>
    </w:p>
    <w:p/>
    <w:p>
      <w:pPr/>
      <w:r>
        <w:rPr>
          <w:b w:val="1"/>
          <w:bCs w:val="1"/>
        </w:rPr>
        <w:t xml:space="preserve">Ελευθέριος Ρήνος – 10 Ιουλίου 2026, 18:51</w:t>
      </w:r>
    </w:p>
    <w:p>
      <w:pPr/>
      <w:r>
        <w:rPr/>
        <w:t xml:space="preserve">Είναι προφανές ότι το Υπουργείο Πολιτισμού με το άρθρο 115 επιχειρεί να νομοθετήσει μια «φωτογραφική» διάταξη για να διασώσει κάποιους από το νομικό αδιέξοδο των παρελθουσών χρήσεων και να ακυρώσει τον δικονομικό ισχυρισμό που άρχισε να διαμορφώνεται νομολογιακά στα Πρωτοδικεία όλης της χώρας. </w:t>
      </w:r>
    </w:p>
    <w:p/>
    <w:p/>
    <w:p>
      <w:pPr/>
      <w:r>
        <w:rPr/>
        <w:t xml:space="preserve">Συγκεκριμένα, η προσθήκη στην παρ. 7 του άρθρου 22 του ν. 4481/2017 της φράσης «της εύλογης αμοιβής για την ήδη πραγματοποιηθείσα με οποιονδήποτε τρόπο ραδιοτηλεοπτική μετάδοση ή παρουσίαση στο κοινό» επιτρέπει να επιδικάζονται με τη διαδικασία των ασφαλιστικών μέτρων χρηματικές απαιτήσεις για χρήσεις που έχουν ήδη ολοκληρωθεί. Αυτό δεν είναι τεχνική λεπτομέρεια, αλλά ευθεία παρέμβαση στον πυρήνα του δικονομικού δικαίου, και μάλιστα προβληματική για τρεις λόγους.</w:t>
      </w:r>
    </w:p>
    <w:p/>
    <w:p/>
    <w:p>
      <w:pPr/>
      <w:r>
        <w:rPr/>
        <w:t xml:space="preserve">Α. Τα ασφαλιστικά μέτρα υπάρχουν για να αποτρέψουν έναν επικείμενο κίνδυνο ή να αντιμετωπίσουν μια επείγουσα κατάσταση. Μια οφειλή για χρήση που έγινε πέρυσι ή πρόπερσι δεν έχει τίποτα το επείγον. Το να «θεσμοθετείται» η επιδίκασή της μέσω  ασφαλιστικών μέτρων έρχεται σε αντίφαση με την ίδια τη φύση του θεσμού.</w:t>
      </w:r>
    </w:p>
    <w:p/>
    <w:p/>
    <w:p>
      <w:pPr/>
      <w:r>
        <w:rPr/>
        <w:t xml:space="preserve">Β. Θίγεται το δικαίωμα δικαστικής προστασίας του άρθρου 20 παρ. 1 του Συντάγματος. Στα ασφαλιστικά μέτρα αρκεί η απλή πιθανολόγηση αντί της πλήρους απόδειξης που απαιτεί η τακτική δίκη, ενώ αποκλείεται ρητά η άσκηση έφεσης. Με άλλα λόγια, ο χρήστης εξαναγκάζεται να δικαστεί για περιουσιακές διαφορές του παρελθόντος με μειωμένες αποδεικτικές εγγυήσεις και χωρίς δεύτερο βαθμό κρίσης.</w:t>
      </w:r>
    </w:p>
    <w:p/>
    <w:p/>
    <w:p>
      <w:pPr/>
      <w:r>
        <w:rPr/>
        <w:t xml:space="preserve">Γ. Η διάταξη παρακάμπτει ευθέως την πρόσφατη και πάγια πλέον κρίση των δικαστηρίων ότι για τις παρελθούσες χρήσεις τα ασφαλιστικά μέτρα δεν χωρούν. Και εύλογα αφού δεν υπάρχει κανένας λόγος να διεξάγονται δύο αυτοτελείς δίκες - μία για «προσωρινό» και μία για οριστικό προσδιορισμό - για το ίδιο ακριβώς, ήδη συντελεσμένο γεγονός. Το μόνο που επιτυγχάνεται είναι μια υπέρμετρη πρόνοια υπέρ κάποιων σε βάρος της ισότητας των διαδίκων και της ασφάλειας δικαίου.</w:t>
      </w:r>
    </w:p>
    <w:p/>
    <w:p/>
    <w:p>
      <w:pPr/>
      <w:r>
        <w:rPr/>
        <w:t xml:space="preserve">Εν ολίγοις, το άρθρο 115 δεν θεραπεύει κάποιο νομικό κενό. Νομιμοποιεί αναδρομικά μια πρακτική που τα δικαστήρια έχουν αρχίσει να αποδοκιμάζουν.</w:t>
      </w:r>
    </w:p>
    <w:p/>
    <w:p/>
    <w:p>
      <w:pPr/>
      <w:r>
        <w:rPr/>
        <w:t xml:space="preserve">Με τη παρέμβαση αυτή θεωρούμε ότι εξυπηρετούνται συμφέροντα, σε πολύ κακή στιγμή για την παρούσα Κυβέρνηση. Εκτός αν η Υπουργός θεωρεί ότι πρέπει να υπάρχει Δικαιοσύνη δύο ταχυτήτων και για κάποιους το αιτητικό αγωγών, να εξυπηρετείται με ασφαλιστικά μέτρα.</w:t>
      </w:r>
    </w:p>
    <w:p/>
    <w:p>
      <w:pPr/>
      <w:r>
        <w:rPr>
          <w:b w:val="1"/>
          <w:bCs w:val="1"/>
        </w:rPr>
        <w:t xml:space="preserve">ΑΝΤΩΝ ΓΟΝΤΗΣ – 14 Ιουλίου 2026, 17:12</w:t>
      </w:r>
    </w:p>
    <w:p>
      <w:pPr/>
      <w:r>
        <w:rPr/>
        <w:t xml:space="preserve">Στο υπό διαβούλευση σχέδιο νόμου περιλαμβάνονται διατάξεις που αφορούν την πτώχευση της πρώην ΑΟΔ (ΑΕΠΙ) Α.Ε. και ειδικότερα τη διαδικασία διανομής των πνευματικών δικαιωμάτων στους δημιουργούς μέσω της συνδίκου της πτώχευσης, καθώς και συναφείς διαδικαστικές ρυθμίσεις.</w:t>
      </w:r>
    </w:p>
    <w:p/>
    <w:p>
      <w:pPr/>
      <w:r>
        <w:rPr/>
        <w:t xml:space="preserve">Ωστόσο, διαπιστώνεται ότι δεν υπάρχει καμία πρόβλεψη για τους πρώην εργαζομένους της ΑΟΔ (ΑΕΠΙ), οι οποίοι επίσης διαθέτουν νόμιμες οικονομικές απαιτήσεις από την πτωχευμένη εταιρεία. Πολλοί από αυτούς παραμένουν απλήρωτοι επί σειρά ετών και αρκετοί αντιμετωπίζουν ιδιαίτερα σοβαρά οικονομικά και κοινωνικά προβλήματα.</w:t>
      </w:r>
    </w:p>
    <w:p/>
    <w:p>
      <w:pPr/>
      <w:r>
        <w:rPr/>
        <w:t xml:space="preserve">Η Πολιτεία ορθώς μεριμνά για την προστασία των δικαιωμάτων των πνευματικών δημιουργών. Αντίστοιχα, όμως, είναι αναγκαίο να υπάρξει μέριμνα και για τους εργαζομένους, οι οποίοι υπηρέτησαν επί σειρά ετών τον οργανισμό, συμβάλλοντας ουσιαστικά στη λειτουργία του και στην εξυπηρέτηση των δημιουργών και των δικαιούχων και σήμερα εξακολουθούν να αναμένουν την ικανοποίηση των νόμιμων απαιτήσεών τους.</w:t>
      </w:r>
    </w:p>
    <w:p/>
    <w:p>
      <w:pPr/>
      <w:r>
        <w:rPr/>
        <w:t xml:space="preserve">Για τον λόγο αυτό προτείνεται να προστεθεί ειδική διάταξη, με την οποία:</w:t>
      </w:r>
    </w:p>
    <w:p/>
    <w:p>
      <w:pPr/>
      <w:r>
        <w:rPr/>
        <w:t xml:space="preserve">1.	Να αναγνωρίζεται ρητά η ανάγκη ταχείας ολοκλήρωσης των διαδικασιών που αφορούν τις απαιτήσεις των εργαζομένων της πρώην ΑΟΔ (ΑΕΠΙ).</w:t>
      </w:r>
    </w:p>
    <w:p/>
    <w:p>
      <w:pPr/>
      <w:r>
        <w:rPr/>
        <w:t xml:space="preserve">2.	Να προβλέπεται ότι η σύνδικος της πτώχευσης προβαίνει χωρίς αδικαιολόγητες καθυστερήσεις σε όλες τις αναγκαίες ενέργειες για την εξέταση και ικανοποίηση των απαιτήσεων των εργαζομένων, σύμφωνα με την κείμενη νομοθεσία περί πτώχευσης και την προβλεπόμενη σειρά κατάταξης των πιστωτών.</w:t>
      </w:r>
    </w:p>
    <w:p/>
    <w:p>
      <w:pPr/>
      <w:r>
        <w:rPr/>
        <w:t xml:space="preserve">3.	Να διασφαλιστεί ότι οι εργαζόμενοι θα ενημερώνονται εγκαίρως για την πορεία της διαδικασίας και για κάθε εξέλιξη που αφορά τις απαιτήσεις τους.</w:t>
      </w:r>
    </w:p>
    <w:p/>
    <w:p>
      <w:pPr/>
      <w:r>
        <w:rPr/>
        <w:t xml:space="preserve">Η απουσία οποιασδήποτε αναφοράς στους εργαζομένους δημιουργεί ένα ουσιαστικό νομοθετικό κενό σε ένα σχέδιο νόμου που ρυθμίζει συνολικά ζητήματα της πτώχευσης της πρώην ΑΟΔ (ΑΕΠΙ). Η ίση μεταχείριση όλων των άμεσα ενδιαφερομένων και η προστασία των εργασιακών απαιτήσεων αποτελούν θεμελιώδεις αρχές του κράτους δικαίου και της κοινωνικής δικαιοσύνης.</w:t>
      </w:r>
    </w:p>
    <w:p/>
    <w:p>
      <w:pPr/>
      <w:r>
        <w:rPr/>
        <w:t xml:space="preserve">Ζητούμε, συνεπώς, να εξεταστεί σοβαρά η συμπλήρωση του σχεδίου νόμου με σχετική διάταξη που θα διασφαλίζει ότι και οι πρώην εργαζόμενοι της ΑΟΔ (ΑΕΠΙ) δεν θα παραμείνουν εκτός του νομοθετικού πλαισίου που επιχειρεί να επιλύσει τις εκκρεμότητες της πτώχευσης</w:t>
      </w:r>
    </w:p>
    <w:p/>
    <w:p>
      <w:pPr/>
      <w:r>
        <w:rPr>
          <w:b w:val="1"/>
          <w:bCs w:val="1"/>
        </w:rPr>
        <w:t xml:space="preserve">Γρηγόρης Τρικούκης – 16 Ιουλίου 2026, 13:50</w:t>
      </w:r>
    </w:p>
    <w:p>
      <w:pPr/>
      <w:r>
        <w:rPr/>
        <w:t xml:space="preserve">Η προτεινόμενη με το άρθρο 115 τροποποίηση, είναι  σωστή και  αναγκαία. Η διάταξη του άρθρου 22 ν. 4481/2017  αφορά στον τρόπο δικαστικού καθορισμού της ευλόγου αμοιβής του άρθρου 49 ν. 2121/1993.  Το άρθρο 49 ν. 2121/1993 αφορά σε ένα δικαίωμα το οποίο γεννάται εκ της χρήσεως, αφού ορίζει ότι « Όταν υλικός φορέας ήχου που έχει νόμιμα εγγραφεί χρησιμοποιείται, …    ο χρήστης οφείλει εύλογη και ενιαία αμοιβή». </w:t>
      </w:r>
    </w:p>
    <w:p/>
    <w:p>
      <w:pPr/>
      <w:r>
        <w:rPr/>
        <w:t xml:space="preserve">Είναι δυστυχώς θλιβερό, το να χρειάζεται διευκρίνηση το συγκεκριμένο σημείο του νόμου, όταν είναι τόσο σαφές από το ίδιο το κείμενο της  διάταξης στην οποία αφορά (ήτοι, τη δικαστική διεκδίκηση του δικαιώματος του άρθρου 49 ν. 2121/1993) για την οποία,  έχουν εκδοθεί από το 2000 μέχρι και σήμερα, χιλιάδες αποφάσεις.</w:t>
      </w:r>
    </w:p>
    <w:p/>
    <w:p>
      <w:pPr/>
      <w:r>
        <w:rPr/>
        <w:t xml:space="preserve"> Το άρθρο 22 ν. 4481/2017, δεν θεσπίστηκε για να αλλάξει την μέχρι τότε προβλεπόμενη στο άρθρο 49 ν. 2121/1993 διαδικασία. Το εδάφιο του άρθρου 49 που αφορούσε στη δικαστική διεκδίκηση, ενσωματώθηκε στο άρθρο 22 ν. 4481/2017.  Η τροποποίηση είναι αναγκαία   προκειμένου να μην καταλείπεται καμία αμφιβολία ακόμη και για το αυτονόητο. Ότι όταν ένα δικαίωμα γεννάται εκ της χρήσεως, ο δικαστικός καθορισμός του δεν είναι δυνατόν να μην αφορά στο ήδη γεννηθέν δικαίωμα.</w:t>
      </w:r>
    </w:p>
    <w:p/>
    <w:p>
      <w:pPr/>
      <w:r>
        <w:rPr/>
        <w:t xml:space="preserve">Είναι δε άτοπο,   το να υποστηρίζει κανείς, πως  για ένα δικαίωμα για το οποίο προβλέπεται από το νόμο, προσωρινός και οριστικός καθορισμός, οι δύο διαδικασίες αφορούν σε διαφορετικά χρονικά διαστήματα. Δηλαδή, ότι ο προσωρινός καθορισμός αφορά στο δικαίωμα που ίσως γεννηθεί (αν πραγματοποιηθεί χρήση) και ο οριστικός σε αυτή που έχει γεννηθεί, από ήδη πραγματοποιηθείσα χρήση. Εάν ο νομοθέτης είχε τέτοια πρόθεση, αυτή θα είχε αποτυπωθεί στο κείμενο του νόμου. </w:t>
      </w:r>
    </w:p>
    <w:p/>
    <w:p>
      <w:pPr/>
      <w:r>
        <w:rPr/>
        <w:t xml:space="preserve">Όσον αφορά στην επίκληση της υπερβολικής πρόνοιας, στις αποφάσεις που υιοθετούν αυτή την άποψη, θα πρέπει να σημειωθεί, ότι τέτοια κρίση, εκφεύγει της αρμοδιότητας των Δικαστηρίων. Τα Δικαστήρια εφαρμόζουν το νόμο, εκτός εάν τον κρίνουν αντισυνταγματικό.  Δεν κρίνουν, με βάση το εάν θεωρούν καλό, κακό, αυστηρό, δίκαιο ή άδικο κλπ, το νόμο. Ο νομοθέτης, παρείχε την συγκεκριμένη μορφή προστασίας στους δικαιούχους του άρθρου 49 ν. 2121/1993, εδώ και 33 έτη. Τούτο δε λόγω της χαρακτηριστικών του ίδιου του δικαιώματος.  Η όψιμη κριτική στο εάν αυτή η διαχρονική πρόθεση του εθνικού νομοθέτη, είναι υπερβολική ή όχι, δεν μπορεί να αποτελεί  αντικείμενο δικαστικής κρίσης. Οι δικαστές δεν δημιουργούν δικονομικούς ισχυρισμούς, εφαρμόζουν τους υπάρχοντες, όπως αυτοί έχουν νομοθετηθεί. </w:t>
      </w:r>
    </w:p>
    <w:p/>
    <w:p>
      <w:pPr/>
      <w:r>
        <w:rPr/>
        <w:t xml:space="preserve">Η μειοψηφούσα αυτή άποψη, μόνον προβλήματα έχει δημιουργήσει, κατά κύριο λόγο στους ίδιους τους χρήστες. Ακόμη και καλόπιστοι – συνεπείς προς τις υποχρεώσεις τους χρήστες, έχουν παρασυρθεί σε αντιδικίες, οι οποίες το μόνο που επιτυγχάνουν γι’ αυτούς είναι το να αυξάνουν το κόστος. Τα πινάκια των δικαστηρίων επιβαρύνονται με υποθέσεις που θα μπορούσαν να αποφευχθούν και τελικά ζημιώνονται και οι δικαιούχοι και οι χρήστες.</w:t>
      </w:r>
    </w:p>
    <w:p/>
    <w:p>
      <w:pPr/>
      <w:r>
        <w:rPr>
          <w:b w:val="1"/>
          <w:bCs w:val="1"/>
        </w:rPr>
        <w:t xml:space="preserve">Γρηγόρης Τρικούκης – 16 Ιουλίου 2026, 14:31</w:t>
      </w:r>
    </w:p>
    <w:p>
      <w:pPr/>
      <w:r>
        <w:rPr/>
        <w:t xml:space="preserve">Η προτεινόμενη με το άρθρο 117 τροποποίηση, δεν θα πρέπει να υιοθετηθεί. Η δυνατότητα ύπαρξης (έστω) προσωρινών συμφωνιών μεταξύ των ΟΣΔ, δεν υπάρχει  πλέον και η προτεινόμενη διάταξη δημιουργεί επιπλέον δυσχέρειες, καθιστώντας ακόμη πιο δύσκολο το να καταλήξουν οι ΟΣΔ, σε συμφωνία οριστικής κατανομής. Αναμφίβολα την μεγαλύτερη ευθύνη την έχουν οι ίδιοι οι ΟΣΔ, επιδεικνύοντας πολλές φορές στάση, που δεν συνάδει με το  ρόλο που οφείλουν να έχουν και  τη  σημασία  του δικαιώματος για τους δικαιούχους που εκπροσωπούν. Μέρος του  προβλήματος όμως είναι οι (ήδη εκδοθείσες) αποφάσεις του ΟΠΙ, των οποίων οι αποκλίσεις δεν μπορούν να δικαιολογηθούν. Κάθε ΟΣΔ, που ικανοποιείται από το περιεχόμενο της αποφάσεως, γίνεται πιο αδιάλλακτος στις εσωτερικές  διαπραγματεύσεις για την επίτευξη  ομόφωνης απόφασης κατανομής. Αυτή η αδιαλλαξία, είναι σαφές ότι θα γίνει ακόμη μεγαλύτερη, με την προτεινόμενη διάταξη, καθώς   ο «κερδισμένος»/ «κερδισμένοι» από την απόφαση ΟΣΔ, θα γνωρίζουν  ότι η απόφαση του ΟΠΙ, θα ισχύει για τρία (3) έτη. Συνεπώς, δεν θα έχουν πρόθεση να "υποχωρήσουν" από τα κεκτημένα. Μοναδικό όφελος σε περίπτωση υιοθέτησης  της διάταξης τελικά,  θα είναι η ενασχόληση του ΟΠΙ με το εν λόγω θέμα, ανά τριετία και όχι ανά έτος. </w:t>
      </w:r>
    </w:p>
    <w:p/>
    <w:p>
      <w:pPr/>
      <w:r>
        <w:rPr/>
        <w:t xml:space="preserve">Πέραν των ανωτέρω, θα πρέπει να ληφθεί υπόψιν και το  εξής: με την προτεινόμενη διάταξη,  διατηρείται (ορθώς φυσικά) η πρόβλεψη ότι οι ΟΣΔ που δεν συμφωνούν με την κατανομή, μπορούν να ζητήσουν από το Δικαστήριο, κατά την διαδικασία των Ασφαλιστικών Μέτρων να καθορίσει άλλη κατανομή.  Υπάρχει ωστόσο ο φόβος, ότι το Δικαστήριο, θα είναι αδύνατον να κρίνει για τις επόμενες χρονιές (δηλαδή το 2ο και 3ο έτος ισχύος της αποφάσεως), ελλείψει συγκριτικών στοιχείων.  Πέραν, δηλαδή, του ήδη υπάρχοντος προβλήματος, θα δημιουργηθεί ζήτημα και στην δικαστική διαδικασία.</w:t>
      </w:r>
    </w:p>
    <w:p/>
    <w:p>
      <w:pPr/>
      <w:r>
        <w:rPr>
          <w:b w:val="1"/>
          <w:bCs w:val="1"/>
        </w:rPr>
        <w:t xml:space="preserve">Α********* Π************** – 16 Ιουλίου 2026, 19:38</w:t>
      </w:r>
    </w:p>
    <w:p>
      <w:pPr/>
      <w:r>
        <w:rPr/>
        <w:t xml:space="preserve">Κυρία Υπουργέ, μας καλέσατε σε διαβούλευση ενός τεράστιου νομοσχεδίου για μόνο 11 ημέρες, χωρίς να μας δώσετε και την αιτιολογική έκθεση που απαιτείται για να μπορέσουμε να κατανοήσουμε τη σκοπιμότητα των διατάξεων και να τα σχολιάσουμε. Αυτό είναι παράβαση του νόμου 4622/2019. Όμως, το ότι ανεβάσατε τελικά την αιτιολογική έκθεση μόλις σήμερα, Πέμπτη 16 Ιουλίου 2026, ενώ η διαβούλευση λήγει την ερχόμενη Δευτέρα 20 Ιουλίου 2026, νομίζω ότι είναι και ντροπή !</w:t>
      </w:r>
    </w:p>
    <w:p/>
    <w:p>
      <w:pPr/>
      <w:r>
        <w:rPr>
          <w:b w:val="1"/>
          <w:bCs w:val="1"/>
        </w:rPr>
        <w:t xml:space="preserve">Σ*********** Ε************* Τ********** Κ********** Ε****** – 17 Ιουλίου 2026, 13:50</w:t>
      </w:r>
    </w:p>
    <w:p>
      <w:pPr/>
      <w:r>
        <w:rPr/>
        <w:t xml:space="preserve">Στο πλαίσιο της δημόσιας ηλεκτρονικής διαβούλευσης για το σχέδιο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στρατηγική για την προστασία και ανάδειξη της ενάλιας πολιτιστικής κληρονομιάς, ίδρυση Φορέα Διαχείρισης Επισκέψιμων Χώρων Ενάλιας Πολιτιστικής Κληρονομιάς, εφαρμογή του εθνικού σχεδίου δράσης για την ανάπτυξη του Οπτικοακουστικού Δημιουργικού Τομέα (Ο.Δ.Τ.), ρυθμίσεις για την προστασία των αρχαιοτήτων και της πολιτιστικής κληρονομιάς, καθώς και ζητήματα διαχείρισης πνευματικών δικαιωμάτων», επανερχόμαστε σε ένα ζήτημα που έχουμε θέσει επανειλημμένως με προηγούμενες επιστολές μας (ενδεικτικά: υπ’ αριθμ. 3249/2-11-2021 και 3291/27-6-2022) προς το Υπουργείο σας και το Υπουργείο Τουρισμού.</w:t>
      </w:r>
    </w:p>
    <w:p/>
    <w:p/>
    <w:p>
      <w:pPr/>
      <w:r>
        <w:rPr/>
        <w:t xml:space="preserve">Το ζήτημα αυτό αφορά τη διαχείριση των πνευματικών και συγγενικών δικαιωμάτων και τη σημαντική επιβάρυνση που προκαλεί στους επιχειρηματίες μικρών τουριστικών καταλυμάτων. Συγκεκριμένα, οι Οργανισμοί Συλλογικής Διαχείρισης και Προστασίας Συγγενικών Δικαιωμάτων αξιώνουν υπέρογκα ποσά με αναδρομική ισχύ, τα οποία οι επιχειρήσεις αδυνατούν να καλύψουν.</w:t>
      </w:r>
    </w:p>
    <w:p/>
    <w:p/>
    <w:p>
      <w:pPr/>
      <w:r>
        <w:rPr/>
        <w:t xml:space="preserve">Γνωρίζουμε απολύτως ότι οι δημιουργοί οπτικοακουστικού περιεχομένου πρέπει να αμείβονται για την αναπαραγωγή των έργων τους, ωστόσο πρέπει να υπάρξει μια πιο δίκαιη κατανομή των τελών χρήσης των πνευματικών δικαιωμάτων ανάλογα με τη μορφή της επιχείρησης, την εποχικότητα καθώς και τον τρόπο που αυτή τα αναπαράγει.</w:t>
      </w:r>
    </w:p>
    <w:p/>
    <w:p/>
    <w:p>
      <w:pPr/>
      <w:r>
        <w:rPr/>
        <w:t xml:space="preserve">Τα μη κύρια τουριστικά καταλύματα δεν αποτελούν επιχειρήσεις διασκέδασης, των οποίων κύρια δραστηριότητα και πηγή εσόδων είναι η μουσική, και ως εκ τούτου δεν θα πρέπει να υπάγονται στις ίδιες υποχρεώσεις. Παράλληλα, απαιτείται σαφής διαφοροποίηση μεταξύ επιμέρους χρήσεων και χώρων, όπως π.χ. μεταξύ pool bar και εστιατορίων, όπου συχνά αναπαράγεται ξένη μουσική λόγω της σύνθεσης της πελατείας (π.χ. αλλοδαποί επισκέπτες).</w:t>
      </w:r>
    </w:p>
    <w:p/>
    <w:p/>
    <w:p>
      <w:pPr/>
      <w:r>
        <w:rPr/>
        <w:t xml:space="preserve">Παρά το γεγονός ότι ο φορέας μας έχει προχωρήσει τα τελευταία χρόνια σε σύναψη συμφώνων συνεργασίας με Οργανισμούς Συλλογικής Διαχείρισης για την εξασφάλιση ευνοϊκότερων όρων για τα μέλη του, εξακολουθούν να υπάρχουν περιπτώσεις οργανισμών που επιβάλλουν υπερβολικές και δυσανάλογες χρεώσεις.</w:t>
      </w:r>
    </w:p>
    <w:p/>
    <w:p/>
    <w:p>
      <w:pPr/>
      <w:r>
        <w:rPr/>
        <w:t xml:space="preserve">Πάγιο αίτημα του φορέα μας είναι η συγκέντρωση όλων των Οργανισμών Συλλογικής Διαχείρισης και Προστασίας Πνευματικών και Συγγενικών Δικαιωμάτων κάτω από την «ομπρέλα» μιας ενιαίας Διαχειριστικής Αρχής. Η Αρχή αυτή θα καθορίζει έναν ενιαίο, διαφανή και αντικειμενικό πίνακα αμοιβών για τους υπόχρεους, βάσει κριτηρίων όπως η δυναμικότητα, το χρονικό διάστημα λειτουργίας και οι παρεχόμενες υπηρεσίες κάθε επιχείρησης, ενώ στη συνέχεια θα προβαίνει στη δίκαιη και αναλογική κατανομή των εσόδων στους δικαιούχους.</w:t>
      </w:r>
    </w:p>
    <w:p/>
    <w:p/>
    <w:p>
      <w:pPr/>
      <w:r>
        <w:rPr/>
        <w:t xml:space="preserve">Επιπλέον, ζητούμε την εξαίρεση των δωματίων των μη κύριων τουριστικών καταλυμάτων από την υποχρέωση καταβολής τελών, καθώς πρόκειται για ιδιωτικούς χώρους των ενοίκων, ενώ για τους κοινόχρηστους χώρους προτείνεται η επιβολή ενός εύλογου και τυπικού ποσού.</w:t>
      </w:r>
    </w:p>
    <w:p/>
    <w:p/>
    <w:p>
      <w:pPr/>
      <w:r>
        <w:rPr/>
        <w:t xml:space="preserve">Κατόπιν των ανωτέρω και δεδομένου ότι οι εν λόγω Οργανισμοί αποστέλλουν στους επιχειρηματίες του κλάδου μας ακόμη και αγωγές απαιτώντας υπέρογκα ποσά, επιβάλλεται η άμεση και οριστική επίλυση του θέματος.</w:t>
      </w:r>
    </w:p>
    <w:p/>
    <w:p/>
    <w:p/>
    <w:p>
      <w:pPr/>
      <w:r>
        <w:rPr/>
        <w:t xml:space="preserve">Με εκτίμηση,</w:t>
      </w:r>
    </w:p>
    <w:p/>
    <w:p/>
    <w:p>
      <w:pPr/>
      <w:r>
        <w:rPr/>
        <w:t xml:space="preserve">Ο ΠΡΟΕΔΡΟΣ			              Ο ΓΕΝ. ΓΡΑΜΜΑΤΕΑΣ</w:t>
      </w:r>
    </w:p>
    <w:p/>
    <w:p>
      <w:pPr/>
      <w:r>
        <w:rPr/>
        <w:t xml:space="preserve">                                                                     </w:t>
      </w:r>
    </w:p>
    <w:p/>
    <w:p>
      <w:pPr/>
      <w:r>
        <w:rPr/>
        <w:t xml:space="preserve">ΤΟΚΟΥΖΗΣ ΠΑΝΑΓΙΩΤΗΣ	           ΘΩΜΑΣΟΥΛΗΣ ΓΕΩΡΓΙΟΣ</w:t>
      </w:r>
    </w:p>
    <w:p/>
    <w:p>
      <w:pPr/>
      <w:r>
        <w:rPr>
          <w:b w:val="1"/>
          <w:bCs w:val="1"/>
        </w:rPr>
        <w:t xml:space="preserve">Δ******** Δ********** – 17 Ιουλίου 2026, 16:17</w:t>
      </w:r>
    </w:p>
    <w:p>
      <w:pPr/>
      <w:r>
        <w:rPr/>
        <w:t xml:space="preserve">Άρθρο 115. Δεν ήξερα ότι μπορεί κάποιος να παραγγείλει αλλαγές σε ένα άρθρο του νόμου που είναι υπέρ του, με σκοπό να είναι ακόμα πιο υπέρ του. Δώστε θέση νομοθέτη στον GEA αν είναι. Ευτυχώς όλα τα άλλα θέματα της πνευματικής ιδιοκτησίας στην Ελλάδα έχουν λυθεί!</w:t>
      </w:r>
    </w:p>
    <w:p/>
    <w:p>
      <w:pPr/>
      <w:r>
        <w:rPr>
          <w:b w:val="1"/>
          <w:bCs w:val="1"/>
        </w:rPr>
        <w:t xml:space="preserve">Δ******* Δ************ – 18 Ιουλίου 2026, 13:51</w:t>
      </w:r>
    </w:p>
    <w:p>
      <w:pPr/>
      <w:r>
        <w:rPr/>
        <w:t xml:space="preserve">Στο άρθρο 109, όπου προβλέπεται η σύσταση του Ιστορικού Αρχείου Αρχαιοτήτων και Αναστηλώσεων είναι αναγκαίο να προβλεφθεί η σύσταση θέσεων ΠΕ Ιστορικού και ΠΕ Αρχειονόμου. Οι ειδικότητες αυτές είναι αναγκαίες για την κατανόηση του αρχειακού υλικού και της ιστορικής του διάστασης αλλά και την καλύτερη οργάνωση των μεγάλων αρχειακών συλλογών που διαθέτει το ΥΠΠΟ.</w:t>
      </w:r>
    </w:p>
    <w:p/>
    <w:p>
      <w:pPr/>
      <w:r>
        <w:rPr>
          <w:b w:val="1"/>
          <w:bCs w:val="1"/>
        </w:rPr>
        <w:t xml:space="preserve">Πανελλήνια Ομοσπονδία Θεάματος Ακροάματος – 18 Ιουλίου 2026, 19:56</w:t>
      </w:r>
    </w:p>
    <w:p>
      <w:pPr/>
      <w:r>
        <w:rPr/>
        <w:t xml:space="preserve">Πανελλήνια Ομοσπονδία Θεάματος- Ακροάματος</w:t>
      </w:r>
    </w:p>
    <w:p/>
    <w:p/>
    <w:p>
      <w:pPr/>
      <w:r>
        <w:rPr/>
        <w:t xml:space="preserve">Κυρία Υπουργέ,</w:t>
      </w:r>
    </w:p>
    <w:p/>
    <w:p/>
    <w:p>
      <w:pPr/>
      <w:r>
        <w:rPr/>
        <w:t xml:space="preserve">Η Ομοσπονδία μας εκπροσωπώντας το σύνολο των καλλιτεχνών και εργαζομένων στο Θέαμα και Ακρόαμα, παρεμβαίνουμε στη δημόσια διαβούλευση εκφράζοντας την έντονη ανησυχία μας και τους προβληματισμούς μας  σχετικά με το παρόν αναρτηθέν στην δημόσια διαβούλευση σχεδίου νόμου του Υπουργείου Πολιτισμού με τίτλο: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Πόρων(Ο.Δ.Α.Π.)-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
      <w:pPr/>
      <w:r>
        <w:rPr/>
        <w:t xml:space="preserve">Η αναφορά μας αφορά τα άρθρα 74 έως 104 του Μέρους Δ΄ και τα άρθρα 117,120,122 του Μέρους Ε΄.</w:t>
      </w:r>
    </w:p>
    <w:p/>
    <w:p/>
    <w:p>
      <w:pPr/>
      <w:r>
        <w:rPr/>
        <w:t xml:space="preserve">Συγκεκριμένα: </w:t>
      </w:r>
    </w:p>
    <w:p/>
    <w:p/>
    <w:p>
      <w:pPr/>
      <w:r>
        <w:rPr/>
        <w:t xml:space="preserve">1)	ΕΠΙ ΤΟΥ ΜΕΡΟΥΣ Δ΄ «ΡΥΘΜΙΣΕΙΣ ΓΙΑ ΤΗΝ ΕΦΑΡΜΟΓΗ ΤΟΥ ΕΘΝΙΚΟΥ ΣΧΕΔΙΟΥ ΔΡΑΣΗΣ ΓΙΑ ΤΗΝ ΑΝΑΠΤΥΞΗ ΤΟΥ ΟΠΤΙΚΟΑΚΟΥΣΤΙΚΟΥ ΔΗΜΙΟΥΡΓΙΚΟΥ ΤΟΜΕΑ (ΑΡΘΡΑ 74-104)»</w:t>
      </w:r>
    </w:p>
    <w:p/>
    <w:p/>
    <w:p>
      <w:pPr/>
      <w:r>
        <w:rPr/>
        <w:t xml:space="preserve">Όπως είχαμε επισημάνει και κατά την ψήφιση του Νόμου 5105/2024, το ΕΚΚΟΜΕΔ αποτελεί μια διεθνή ιδιαιτερότητα που δεν ανταποκρίνεται στις καθιερωμένες πρακτικές. Στις περισσότερες χώρες λειτουργεί ένα ανεξάρτητο Κέντρο Κινηματογράφου, το οποίο στηρίζει την κινηματογραφική δημιουργία με καλλιτεχνικά και πολιτιστικά κριτήρια, τα οποία δεν μπορούν να αποτιμηθούν αποκλειστικά με οικονομικούς ή ποσοτικούς δείκτες. Παράλληλα, λειτουργεί ένας διακριτός οργανισμός, αρμόδιος για τα υπόλοιπα ζητήματα του οπτικοακουστικού τομέα, όπως η προσέλκυση διεθνών παραγωγών, τα κίνητρα (cash rebate), οι τηλεοπτικοί σταθμοί, οι ψηφιακές πλατφόρμες και η ευρύτερη ανάπτυξη της οπτικοακουστικής βιομηχανίας.</w:t>
      </w:r>
    </w:p>
    <w:p/>
    <w:p>
      <w:pPr/>
      <w:r>
        <w:rPr/>
        <w:t xml:space="preserve">Το παρόν Σχέδιο Νόμου καταρτίστηκε, για ακόμη μία φορά, χωρίς ουσιαστική διαβούλευση με τους συλλογικούς φορείς των καλλιτεχνών και των εργαζομένων στον χώρο της τέχνης και του πολιτισμού. Πρόκειται για φορείς που διαθέτουν αποδεδειγμένα πολυετή εμπειρία, καθώς και σημαντική γνώση των σύγχρονων εξελίξεων τόσο σε εθνικό όσο και σε ευρωπαϊκό επίπεδο, γεγονός που θα μπορούσε να συμβάλει ουσιαστικά στη διαμόρφωση ενός αποτελεσματικού και σύγχρονου θεσμικού πλαισίου.</w:t>
      </w:r>
    </w:p>
    <w:p/>
    <w:p/>
    <w:p>
      <w:pPr/>
      <w:r>
        <w:rPr/>
        <w:t xml:space="preserve">Από την πρώτη στιγμή διαπιστώνουμε ότι το παρόν Σχέδιο Νόμου όχι μόνο διατηρεί αλλά και ενισχύει τη λογική της εμπορευματοποίησης της κινηματογραφικής τέχνης και της οπτικοακουστικής παραγωγής. Αντιμετωπίζει το κινηματογραφικό έργο πρωτίστως ως επιχειρηματική επένδυση και οικονομικό προϊόν, αντί να αναγνωρίζει τον χαρακτήρα του ως καλλιτεχνική δημιουργία με ουσιαστική κοινωνική, πολιτιστική και εκπαιδευτική αξία. Την ίδια στιγμή, παραλείπει να θεσπίσει ουσιαστικά κίνητρα για την ανάδειξη και στήριξη νέων δημιουργών.</w:t>
      </w:r>
    </w:p>
    <w:p/>
    <w:p/>
    <w:p>
      <w:pPr/>
      <w:r>
        <w:rPr/>
        <w:t xml:space="preserve">Είναι χαρακτηριστικό ότι δεν προβλέπονται νέοι ή εναλλακτικοί μηχανισμοί χρηματοδότησης της κινηματογραφικής δημιουργίας, ούτε λαμβάνονται πρωτοβουλίες για την ενίσχυση του σεναρίου, που αποτελεί το θεμέλιο κάθε κινηματογραφικού έργου. Απουσιάζουν επίσης μέτρα για την ανάδειξη νέων δημιουργικών ταλέντων, τη στήριξη των ανεξάρτητων δημιουργών και την ενδυνάμωση της καλλιτεχνικής παραγωγής πέρα από τα στενά οικονομικά κριτήρια.</w:t>
      </w:r>
    </w:p>
    <w:p/>
    <w:p/>
    <w:p>
      <w:pPr/>
      <w:r>
        <w:rPr/>
        <w:t xml:space="preserve">Για ακόμη μία φορά, η οπτικοακουστική παραγωγή προσεγγίζεται κυρίως ως εργαλείο οικονομικής ανάπτυξης και προσέλκυσης επενδύσεων, με αποτέλεσμα να υποβαθμίζεται η ιδιότητά της ως έργου τέχνης και να παραγνωρίζεται ο καθοριστικός κοινωνικός και πολιτιστικός της ρόλος. Έτσι, η πολιτική για τον κινηματογράφο περιορίζεται σε μια αναπτυξιακή λογική, χωρίς να αντιμετωπίζει τον πολιτισμό ως δημόσιο αγαθό που χρήζει ουσιαστικής προστασίας και ενίσχυσης.</w:t>
      </w:r>
    </w:p>
    <w:p/>
    <w:p/>
    <w:p>
      <w:pPr/>
      <w:r>
        <w:rPr/>
        <w:t xml:space="preserve">Με το Σχέδιο Νόμου υποβαθμίζεται η ελληνική κινηματογραφική τέχνη, καθώς αντιμετωπίζεται απλώς ως «κινηματογραφική παραγωγή» και όχι ως ξεχωριστή μορφή καλλιτεχνικής δημιουργίας. Παράλληλα, η αναφορά στη στήριξη της οπτικοακουστικής παραγωγής σημαίνει ότι ο νέος φορέας θα συνεχίσει να χρηματοδοτεί, εκτός από τον κινηματογράφο, και τηλεοπτικές σειρές ή άλλες παραγωγές των ιδιωτικών καναλιών, ακολουθώντας την ίδια πολιτική που εφαρμόζεται μέχρι σήμερα.</w:t>
      </w:r>
    </w:p>
    <w:p/>
    <w:p/>
    <w:p>
      <w:pPr/>
      <w:r>
        <w:rPr/>
        <w:t xml:space="preserve">Αυτή η επιλογή δεν είναι ουδέτερη. Εξισώνει την κινηματογραφική τέχνη με την τηλεοπτική παραγωγή και περιορίζει τους διαθέσιμους πόρους για την ενίσχυση μιας ανεξάρτητης ελληνικής κινηματογραφίας, που έχει ανάγκη από σταθερή και ουσιαστική δημόσια στήριξη ως μορφή τέχνης και πολιτιστικού αγαθού.</w:t>
      </w:r>
    </w:p>
    <w:p/>
    <w:p>
      <w:pPr/>
      <w:r>
        <w:rPr/>
        <w:t xml:space="preserve">Την ίδια στιγμή, το Σχέδιο Νόμου δεν αντιμετωπίζει το χρόνιο πρόβλημα της μη εφαρμογής της υποχρέωσης των ιδιωτικών τηλεοπτικών σταθμών να διαθέτουν το 1,5% των ετήσιων εσόδων τους για την παραγωγή ελληνικών κινηματογραφικών ταινιών, όπως προβλέπει η νομοθεσία. Αντί να διασφαλίζεται η εφαρμογή αυτής της υποχρέωσης, οι ιδιωτικοί τηλεοπτικοί σταθμοί συνεχίζουν να λαμβάνουν σημαντική κρατική χρηματοδότηση για τηλεοπτικές παραγωγές, ακόμη και για ψυχαγωγικές εκπομπές όπως Τηλεοπτικά Ριάλιτι και τηλεπαιχνίδια. Στην πράξη, δηλαδή, οι πολίτες καλούνται να χρηματοδοτούν τα προγράμματα των ιδιωτικών καναλιών, ενώ οι υποχρεώσεις των ίδιων των καναλιών απέναντι στον ελληνικό κινηματογράφο παραμένουν ανεκπλήρωτες.</w:t>
      </w:r>
    </w:p>
    <w:p/>
    <w:p>
      <w:pPr/>
      <w:r>
        <w:rPr/>
        <w:t xml:space="preserve">Σήμερα ο ελληνικός κινηματογράφος χρειάζεται ένα πραγματικά σύγχρονο νομοθετικό πλαίσιο. Ένα πλαίσιο που να είναι ευέλικτο, δημοκρατικό και αποτελεσματικό, να λειτουργεί με διαφάνεια και να εξασφαλίζει ότι οι δημόσιοι πόροι κατανέμονται δίκαια, χωρίς αποκλεισμούς, στηρίζοντας κάθε μορφή κινηματογραφικής δημιουργίας. Αντί γι' αυτό, το Σχέδιο Νόμου συγκεντρώνει υπερβολικές αρμοδιότητες σε λίγα πρόσωπα, και ιδιαίτερα στον Διευθύνοντα Σύμβουλο. Αυτή η υπερσυγκέντρωση εξουσίας περιορίζει τη διαφάνεια, αποδυναμώνει τον έλεγχο και δημιουργεί σοβαρά ερωτήματα για την ελευθερία της καλλιτεχνικής έκφρασης.</w:t>
      </w:r>
    </w:p>
    <w:p/>
    <w:p/>
    <w:p>
      <w:pPr/>
      <w:r>
        <w:rPr/>
        <w:t xml:space="preserve">Γίνεται επίσης σαφές ότι βασικός στόχος του νομοσχεδίου είναι η προσέλκυση ξένων οπτικοακουστικών παραγωγών, για τις οποίες προβλέπεται η διάθεση δεκάδων εκατομμυρίων ευρώ μέσω των κρατικών κινήτρων. Την ίδια ώρα, όμως, η ελληνική κινηματογραφική δημιουργία εξακολουθεί να υποχρηματοδοτείται και να μην αποτελεί προτεραιότητα της πολιτείας, όπως συμβαίνει εδώ και πολλά χρόνια.</w:t>
      </w:r>
    </w:p>
    <w:p/>
    <w:p/>
    <w:p>
      <w:pPr/>
      <w:r>
        <w:rPr/>
        <w:t xml:space="preserve">Ιδιαίτερα προβληματικές είναι και οι διατάξεις για το πρόγραμμα cash rebate. Δεν προβλέπεται καμία υποχρέωση των διεθνών παραγωγών που λαμβάνουν δημόσια χρηματοδότηση να συνεργάζονται με Έλληνες επαγγελματίες του κινηματογράφου ή να ενισχύουν ουσιαστικά την εγχώρια παραγωγή και τεχνογνωσία.</w:t>
      </w:r>
    </w:p>
    <w:p/>
    <w:p/>
    <w:p>
      <w:pPr/>
      <w:r>
        <w:rPr/>
        <w:t xml:space="preserve">Παράλληλα, πρέπει να προβλεφθεί ρητά ότι η κρατική χρηματοδότηση μπορεί να ανακαλείται όταν μια παραγωγή παραβιάζει την εργατική νομοθεσία ή τις συλλογικές συμβάσεις εργασίας. Η δημόσια χρηματοδότηση δεν μπορεί να στηρίζει επιχειρήσεις που παραβιάζουν τα δικαιώματα των εργαζομένων. Η αρχή πρέπει να είναι ξεκάθαρη: καμία δημόσια ενίσχυση χωρίς σεβασμό στην εργατική νομοθεσία και στις συλλογικές συμβάσεις εργασίας, σε πλήρη εναρμόνιση με τις ευρωπαϊκές κατευθύνσεις για την ενίσχυση των συλλογικών διαπραγματεύσεων, κατ εφαρμογή της ευρωπαϊκής οδηγίας που ορίζει ότι ο στόχος το επόμενο διάστημα είναι το 80% των εργαζομένων να αμείβονται με συλλογικές συμβάσεις εργασίας, καθώς επίσης και της εκστρατείας δημοσίων συμβάσεων του uni europa με τον ευρωπαίο επίτροπο για την εργασία, καμία δημόσια σύμβαση χωρίς συλλογική σύμβαση εργασίας. Εδώ να υπενθυμίσουμε ότι παλιότερα υπήρχε και η βεβαίωση καλών εργασιακών πρακτικών από την επιθεώρηση εργασίας μαζί με την υποβολή της πρότασης.</w:t>
      </w:r>
    </w:p>
    <w:p/>
    <w:p/>
    <w:p>
      <w:pPr/>
      <w:r>
        <w:rPr/>
        <w:t xml:space="preserve">Το ζήτημα αυτό είναι ιδιαίτερα σημαντικό, γιατί στον χώρο των γυρισμάτων καταγράφονται συχνά εξαντλητικά ωράρια που φτάνουν ακόμη και τις 14, 15 ή 17 ώρες εργασίας, απλήρωτες υπερωρίες, εργασία στο ρεπό. Παρότι έχουν γίνει επανειλημμένες καταγγελίες, οι έλεγχοι είναι ελάχιστοι. Για τον λόγο αυτό χρειάζεται να θεσπιστεί ένας ουσιαστικός μηχανισμός ελέγχου της τήρησης της εργατικής νομοθεσίας, καθώς και των κανόνων υγείας και ασφάλειας σε όλες τις παραγωγές. Οι κανόνες πρέπει να είναι ίδιοι για όλους και να εφαρμόζονται στην πράξη.</w:t>
      </w:r>
    </w:p>
    <w:p/>
    <w:p/>
    <w:p>
      <w:pPr/>
      <w:r>
        <w:rPr/>
        <w:t xml:space="preserve">Επιπλέον, όπως συνέβη και με τον Νόμο 5105/2024, το νομοσχέδιο αφήνει πολλά κρίσιμα ζητήματα να ρυθμιστούν αργότερα με Υπουργικές ή Κοινές Υπουργικές Αποφάσεις. Αυτό σημαίνει ότι βασικές διατάξεις του νόμου θα μπορούν να αλλάζουν χωρίς ουσιαστικό κοινοβουλευτικό έλεγχο, δημιουργώντας ανασφάλεια και έλλειψη διαφάνειας.</w:t>
      </w:r>
    </w:p>
    <w:p/>
    <w:p/>
    <w:p>
      <w:pPr/>
      <w:r>
        <w:rPr/>
        <w:t xml:space="preserve">Τέλος, υπάρχει ένα σοβαρό ζήτημα, με το προτεινόμενο σύστημα, η διοίκηση και ο ελεγκτικός μηχανισμός αλληλεξαρτώνται δημιουργώντας έτσι άλλον έναν πύρινα διάβρωσης της αξιοπιστίας της δημοσίας αποστολής του Οργανισμού σε φαινόμενα διαφθοράς. Με άλλα λόγια, ο ελεγχόμενος έχει τη δυνατότητα να επηρεάζει τον ελεγκτή του. Είναι αναγκαίο να υπάρξουν πραγματικές ασφαλιστικές δικλείδες ανεξαρτησίας και κοινωνικού ελέγχου, με τη συμμετοχή εκπροσώπων της κινηματογραφικής κοινότητας και των επαγγελματικών φορέων στις διαδικασίες εποπτείας.</w:t>
      </w:r>
    </w:p>
    <w:p/>
    <w:p/>
    <w:p>
      <w:pPr/>
      <w:r>
        <w:rPr/>
        <w:t xml:space="preserve">Συνολικά, το νομοσχέδιο με τα άρθρα 74-104, δίνει την εντύπωση ότι αποτελεί ένα προεκλογικό δώρο, ότι εξυπηρετεί κυρίως συγκεκριμένα επιχειρηματικά συμφέροντα, προσφέροντας νέες χρηματοδοτήσεις στα ιδιωτικά τηλεοπτικά κανάλια, αντί να διαμορφώνει μια ολοκληρωμένη πολιτική για την ανάπτυξη του ελληνικού κινηματογράφου και της οπτικοακουστικής παράγωγης.</w:t>
      </w:r>
    </w:p>
    <w:p/>
    <w:p>
      <w:pPr/>
      <w:r>
        <w:rPr/>
        <w:t xml:space="preserve">Για όλους αυτούς τους λόγους ζητούμε την απόσυρση από το νομοσχέδιο των άρθρων 74 έως 104 του νομοσχεδίου και την έναρξη ουσιαστικού θεσμικού διαλόγου με τους φορείς του κινηματογράφου, του πολιτισμού και των εργαζομένων, ώστε να διαμορφωθεί ένα σύγχρονο θεσμικό πλαίσιο που θα στηρίζει την καλλιτεχνική δημιουργία, θα προστατεύει την εργασία και θα ανταποκρίνεται στις πραγματικές ανάγκες του χώρου.</w:t>
      </w:r>
    </w:p>
    <w:p/>
    <w:p/>
    <w:p>
      <w:pPr/>
      <w:r>
        <w:rPr/>
        <w:t xml:space="preserve">2)	ΕΠΙ ΤΟΥ ΜΕΡΟΥΣ Ε΄ΤΟΥ ΝΟΜΟΣΧΕΔΙΟΥ -  ΛΟΙΠΕΣ ΔΙΑΤΑΞΕΙΣ ΑΡΜΟΔΙΟΤΗΤΑΣ ΤΟΥ ΥΠΟΥΡΓΕΙΟΥ ΠΟΛΙΤΙΣΜΟΥ (ΑΡΘΡΑ 105-127) ΕΧΟΥΜΕ ΝΑ ΕΠΙΣΗΜΑΝΟΥΜΕ ΤΑ ΚΑΤΩΤΕΡΩ:</w:t>
      </w:r>
    </w:p>
    <w:p/>
    <w:p/>
    <w:p>
      <w:pPr/>
      <w:r>
        <w:rPr/>
        <w:t xml:space="preserve">Α) ΕΠΙ ΤΟΥ ΑΡΘΡΟΥ 117 ΠΕΡΙ ΕΥΛΟΓΗΣ ΑΜΟΙΒΗΣ-ΤΡΟΠΟΠΟΙΗΣΗ ΠΑΡ.9 ΤΟΥ ΑΡΘΡΟΥ 18 Ν.212193.</w:t>
      </w:r>
    </w:p>
    <w:p/>
    <w:p/>
    <w:p/>
    <w:p>
      <w:pPr/>
      <w:r>
        <w:rPr/>
        <w:t xml:space="preserve">Με βάση τα προβλεπόμενα στο άρθρο αυτό, όταν στην ίδια κατηγορία ή υποκατηγορία δικαιούχων υπάρχουν περισσότεροι οργανισμοί συλλογικής διαχείρισης και τελικά δεν επιτυγχάνεται συμφωνία για τη μεταξύ τους κατανομή, τότε εκδίδεται σχετική απόφαση του ΟΠΙ διάρκειας τριών (3) ετών από την έκδοσή της που ρυθμίζει και διαμορφώνει τον τρόπο είσπραξης και καταβολής καθώς και κάθε άλλη λεπτομέρεια επί του θέματος. Οι οργανισμοί που δεν συμφωνούν με την απόφαση του ΟΠΙ μπορούν να προσφύγουν στη Δικαιοσύνη για τον καθορισμό άλλης κατανομής ανατρέποντας την απόφαση του ΟΠΙ. Η πρόβλεψη της τριετούς διάρκειας  της απόφασης του ΟΠΙ, εφόσον η απόφαση του ΟΠΙ δεν γίνεται αποδεκτή  από τα ενδιαφερόμενα μέρη, ουσιαστικά σε βάθος τριετίας θα δημιουργεί καθεστώς μεροληψίας υπέρ των οργανισμών που πιθανώς ευνοούνται από την απόφασή του έναντι των  οργανισμών που εκτιμούν ότι αδικούνται και συνεπώς θα βρίσκονται σε μειονεκτικότερη θέση σε κάθε περίπτωση προσφυγής στη Δικαιοσύνη. Θα πρέπει η απόφαση του ΟΠΙ να είναι διάρκειας ενός και μόνο έτους και ο ΟΠΙ, εάν δεν έχει επιλυθεί η διαφορά, να επανατοποθετείται με νέα απόφασή του το επόμενο έτος λαμβάνοντας υπόψιν κάθε νέο δεδομένο ή αλλαγή της υφιστάμενης κατάστασης.</w:t>
      </w:r>
    </w:p>
    <w:p/>
    <w:p/>
    <w:p/>
    <w:p>
      <w:pPr/>
      <w:r>
        <w:rPr/>
        <w:t xml:space="preserve">Β) ΕΠΙ ΤΟΥ ΑΡΘΡΟΥ 120 ΠΕΡΙ ΕΝΕΡΓΗΤΙΚΗΣ ΝΟΜΙΜΟΠΟΙΗΣΗΣ ΤΟΥ ΣΥΝΔΙΚΟΥ ΤΗΣ ΠΤΩΧΕΥΣΗΣ ΚΑΙ ΔΙΑΝΟΜΗ ΤΩΝ ΔΙΚΑΙΩΜΑΤΩΝ ΣΤΟΥΣ ΔΙΚΑΙΟΥΧΟΥΣ ΔΗΜΙΟΥΡΓΟΥΣ ΤΗΣ ΠΡΩΗΝ ΑΝΕΞΑΡΤΗΤΗΣ ΟΝΤΟΤΗΤΑΣ ΔΙΑΧΕΙΡΙΣΗΣ ΤΟΥ ΑΡΘΡΟΥ 50 ΤΟΥ Ν.4481/20217 ΜΕ ΤΗΝ ΕΠΩΝΥΜΙΑ «ΑΕΠΙ-ΕΛΛΗΝΙΚΗ ΕΤΑΙΡΙΑ ΠΡΟΣ ΠΡΟΣΤΑΣΙΑ ΤΗΣ ΠΝΕΥΜΑΤΙΚΗΣ ΙΔΙΟΚΤΗΣΙΑΣ  Α.Ε.»</w:t>
      </w:r>
    </w:p>
    <w:p/>
    <w:p/>
    <w:p/>
    <w:p>
      <w:pPr/>
      <w:r>
        <w:rPr/>
        <w:t xml:space="preserve">Με βάση τα προβλεπόμενα στο άρθρο αυτό και ειδικότερα στην παρ.4 ο σύνδικος της πτώχευσης θα διανείμει και θα αποδώσει στους δικαιούχους δημιουργούς τα ποσά που δικαιούνται με βάση τον κανονισμό διανομής της πρώην Α.Ο.Δ. (ΑΕΠΙ) όπως ίσχυε κατά το χρόνο ανάκλησης της αδείας της.</w:t>
      </w:r>
    </w:p>
    <w:p/>
    <w:p>
      <w:pPr/>
      <w:r>
        <w:rPr/>
        <w:t xml:space="preserve">Ερωτούμε: Είναι δυνατόν να γίνει η διανομή με βάση τον κανονισμό μιας εταιρίας που καταγγέλθηκε και της οποίας  αφαιρέθηκε η άδεια για σωρεία παρανομιών και παραβάσεων;  </w:t>
      </w:r>
    </w:p>
    <w:p/>
    <w:p/>
    <w:p>
      <w:pPr/>
      <w:r>
        <w:rPr/>
        <w:t xml:space="preserve">Θα πρέπει η διανομή να γίνει εφαρμόζοντας επακριβώς τον Νόμο ανάλογα με την προκύπτουσα  χρήση λαμβάνοντας υπόψιν το φυσικό, ψηφιοποιημένο και ψηφιακό αρχείο τεκμηρίωσης και έργων των δικαιούχων ή, σε εναλλακτική περίπτωση, με τον κανονισμό διανομής της διαδόχου κατάστασης ΕΥΕΔ (Ειδική Υπηρεσία Έκτακτης Διαχείρισης).</w:t>
      </w:r>
    </w:p>
    <w:p/>
    <w:p/>
    <w:p>
      <w:pPr/>
      <w:r>
        <w:rPr/>
        <w:t xml:space="preserve">Τίθεται εύλογα το ερώτημα, δεδομένου ότι στον παρόντα χρόνο οι δικαιούχοι έχοντας ενεργές συμβάσεις με άλλους Ο.Σ.Δ. για την είσπραξη των δικαιωμάτων τους, εάν τα προς είσπραξη δικαιώματά τους θα αποδοθούν απευθείας στους ίδιους ή στους Ο.Σ.Δ τους οποίους τους εκπροσωπούν τώρα. Στην περίπτωση που αποδοθούν στους Ο.Σ.Δ. που τους εκπροσωπούν τώρα και οι οποίοι θα πρέπει να αποδώσουν τελικά τα δικαιώματα στους δικαιούχους, θα πρέπει να ληφθεί μέριμνα ούτως ώστε να μην γίνουν κρατήσεις εκ νέου από τους ΟΣΔ που οι δικαιούχοι στον παρόντα χρόνο είναι μέλη, αφού ήδη αρχικά θα έχουν γίνει κρατήσεις προμήθειας και διαχειριστικών εξόδων από το σύνδικο της πτώχευσης υπέρ της πτωχευτικής περιουσίας.</w:t>
      </w:r>
    </w:p>
    <w:p/>
    <w:p/>
    <w:p>
      <w:pPr/>
      <w:r>
        <w:rPr/>
        <w:t xml:space="preserve">Επίσης, τίθεται το ερώτημα εάν υφίστανται διαπιστωμένες προκαταβολές του πρώην Α.Ο.Δ. (ΑΕΠΙ) προς δικαιούχους και εάν αυτές θα ληφθούν υπόψιν στα τελικά ποσά που θα αποδοθούν ως χρηματικό αποτέλεσμα προς αυτούς.</w:t>
      </w:r>
    </w:p>
    <w:p/>
    <w:p/>
    <w:p/>
    <w:p>
      <w:pPr/>
      <w:r>
        <w:rPr/>
        <w:t xml:space="preserve">3)	ΕΠΙ ΤΟΥ ΑΡΘΡΟΥ 122 ΠΕΡΙ ΤΟΥ ΜΗΤΡΩΟΥ ΑΠΑΣΧΟΛΟΥΜΕΝΩΝ ΣΤΟΝ ΠΟΛΙΤΙΣΜΟ – ΤΡΟΠΟΠΟΙΗΣΗ ΑΡΘΡΩΝ 108 ΚΑΙ 109 Ν.5039/2023.</w:t>
      </w:r>
    </w:p>
    <w:p/>
    <w:p/>
    <w:p>
      <w:pPr/>
      <w:r>
        <w:rPr/>
        <w:t xml:space="preserve">Τόσο στον αρχικό Νόμο 5039/2023 αλλά και στα προβλεπόμενα στο παρόν Νομοσχέδιο στο άρθρο 108 παρ.4.(ε) και 109 παρ3.(ε) για τη λειτουργία του Μητρώου Απασχολουμένων στον Πολιτισμό (Μ.Α.Π.), αναφέρεται και καταγραφή εισοδημάτων από άσκηση επιχειρηματικής δραστηριότητας. Όπως πολύ καλά γνωρίζετε και επανειλημμένα έχουμε αναφερθεί σε σχετικές επιστολές μας και δια ζώσης συναντήσεις μας σε όλα τα συναρμόδια Υπουργεία, οι εργαζόμενοι στο Θέαμα -Ακρόαμα που έχουν τιμολόγιο παροχής υπηρεσιών είναι μισθωτοί και επί του τιμολογίου που εκδίδουν επικολλάται ΕΦΚΑ Μισθωτών Υπηρεσιών (πρώην ΙΚΑ). Σε καμία περίπτωση δεν ασκούμε επιχειρηματική δραστηριότητα. Σε καμία περίπτωση τους εργαζόμενους του κλάδου μας δεν θα πρέπει να τους αφορούν οι συγκεκριμένες προβλέψεις και σε καμία περίπτωση δεν θα πρέπει να γίνει καταγραφή εισοδημάτων από τιμολόγια παροχής υπηρεσιών των εργαζομένων στο Θέαμα-Ακρόαμα αφού ως μισθωτοί ασφαλιζόμαστε στον ΕΦΚΑ (ΜΙΣΘΩΤΩΝ ΥΠΗΡΕΣΙΩΝ). Οι υποτροπές αυτής της μορφής έχουν οδηγήσει σε μεγάλα προβλήματα τον κλάδο μας σε ό,τι αφορά την είσπραξη του Ειδικού Εποχικού Επιδόματος και του Επιδόματος Ανεργίας, που παρά τις όποιες υποσχέσεις έχουμε λάβει για αντιμετώπισή τους, συνεχίζουν να ταλαιπωρούν τα μέλη μας.</w:t>
      </w:r>
    </w:p>
    <w:p/>
    <w:p>
      <w:pPr/>
      <w:r>
        <w:rPr/>
        <w:t xml:space="preserve">Επίσης διερωτώμεθα εάν αυτές οι προβλέψεις προοιωνίζουν τη λειτουργία και ένταξη στο Μητρώο Απασχολουμένων στον Πολιτισμό και εμπορικών επιχειρήσεων που σε καμία περίπτωση δεν θα πρέπει να συμπεριληφθούν σε αυτό. Στο Μ.Α.Π. πρέπει να εγγράφονται μόνο τα πρόσωπα με την ιδιότητα του εργαζομένου.</w:t>
      </w:r>
    </w:p>
    <w:p/>
    <w:p/>
    <w:p>
      <w:pPr/>
      <w:r>
        <w:rPr/>
        <w:t xml:space="preserve">Για όλους αυτούς τους λόγους ζητούμε την απόσυρση από το νομοσχέδιο των άρθρων 107, 120 και 122 του νομοσχεδίου και την έναρξη και σε αυτές τις περιπτώσεις ουσιαστικού θεσμικού διαλόγου με τους φορείς των καλλιτεχνών και εργαζομένων στην τέχνη και τον πολιτισμό, ώστε να διαμορφωθεί ένα σύγχρονο θεσμικό πλαίσιο που θα στηρίζει την καλλιτεχνική δημιουργία, θα προστατεύει την εργασία, το πνευματικό - συγγενικό δικαίωμα και θα ανταποκρίνεται στις πραγματικές ανάγκες των εργαζομένων στον σύγχρονο πολιτισμό.</w:t>
      </w:r>
    </w:p>
    <w:p/>
    <w:p>
      <w:pPr/>
      <w:r>
        <w:rPr>
          <w:b w:val="1"/>
          <w:bCs w:val="1"/>
        </w:rPr>
        <w:t xml:space="preserve">Β******* Σ****** – 18 Ιουλίου 2026, 20:54</w:t>
      </w:r>
    </w:p>
    <w:p>
      <w:pPr/>
      <w:r>
        <w:rPr/>
        <w:t xml:space="preserve">Στο άρθρο 109 περί "Σύστασης Εθνικής Φωτοθήκης και Ιστορικού Αρχείου Αρχαιοτήτων και Αναστηλώσεων" να προβλεφθούν θέσεις ΠΕ από Τμήματα Ιστορίας και Αρχαιολογίας και Τμήματα Αρχειονομίας, προκειμένου αφενός να τεκμηριωθεί και να ταξινομηθεί επαρκώς το σύνολο του αρχειακού υλικού και αφετέρου να είναι αξιοποιήσιμο άμεσα από την ίδια την υπηρεσία και την έρευνα.</w:t>
      </w:r>
    </w:p>
    <w:p/>
    <w:p>
      <w:pPr/>
      <w:r>
        <w:rPr>
          <w:b w:val="1"/>
          <w:bCs w:val="1"/>
        </w:rPr>
        <w:t xml:space="preserve">ΕΝΩΣΗ ΤΕΧΝΙΚΩΝ ΕΛΛΗΝΙΚΟΥ ΚΙΝΗΜΑΤΟΓΡΑΦΟΥ &amp; ΤΗΛΕΟΡΑΣΗΣ ΟΠΤΙΚΟΑΚΟΥΣΤΙΚΟΣ ΤΟΜΕΑΣ – 18 Ιουλίου 2026, 22:17</w:t>
      </w:r>
    </w:p>
    <w:p>
      <w:pPr/>
      <w:r>
        <w:rPr/>
        <w:t xml:space="preserve">Παρέμβαση επί της Δημόσιας Διαβούλευσης – Σχόλιο στο Άρθρο 122</w:t>
      </w:r>
    </w:p>
    <w:p/>
    <w:p>
      <w:pPr/>
      <w:r>
        <w:rPr/>
        <w:t xml:space="preserve">Θέμα: Επιτακτική ανάγκη αναπλαισίωσης του Μητρώου Απασχολούμενων στον Πολιτισμό (ΜΑΠ) σύμφωνα με τις αρχικές δεσμεύσεις της Πολιτείας για θεσμική κατοχύρωση της εργασίας.</w:t>
      </w:r>
    </w:p>
    <w:p/>
    <w:p/>
    <w:p>
      <w:pPr/>
      <w:r>
        <w:rPr/>
        <w:t xml:space="preserve">Στο πλαίσιο της διαβούλευσης επί του άρθρου 122, σχετικά με τη λειτουργία του ΜΑΠ και τη διαλειτουργικότητα με συστήματα που αντλούν δεδομένα από φορείς εξαρτημένης εργασίας (Π.Σ. ΕΡΓΑΝΗ ΙΙ, e-ΕΦΚΑ), η ΕΤΕΚΤ-ΟΤ καταθέτει την ακόλουθη ένσταση και θέση:</w:t>
      </w:r>
    </w:p>
    <w:p/>
    <w:p/>
    <w:p>
      <w:pPr/>
      <w:r>
        <w:rPr/>
        <w:t xml:space="preserve">1. Απόκλιση από τον αρχικό σκοπό</w:t>
      </w:r>
    </w:p>
    <w:p/>
    <w:p>
      <w:pPr/>
      <w:r>
        <w:rPr/>
        <w:t xml:space="preserve">Το εγχείρημα του Μητρώου ξεκίνησε με τη ρητή δέσμευση για τη δημιουργία μιας «ενιαίας ταυτότητας καλλιτέχνη» και τη θεσμική εργασιακή θωράκιση του κλάδου. Διαπιστώνουμε σήμερα μια χαοτική διάσταση ανάμεσα στις διακηρύξεις αυτές και στη μετατροπή του Μητρώου σε μια ψυχρή, ελεγκτική βάση δεδομένων. Θεωρούμε επιβεβλημένο τον άμεσο επαναπροσδιορισμό του ρόλου του ΜΑΠ, ώστε να υπηρετεί την ουσιαστική προστασία του επαγγελματία και όχι τη γραφειοκρατική «διασταύρωση εισοδημάτων» που εξαντλείται σε στατιστικές απεικονίσεις.</w:t>
      </w:r>
    </w:p>
    <w:p/>
    <w:p/>
    <w:p>
      <w:pPr/>
      <w:r>
        <w:rPr/>
        <w:t xml:space="preserve">2. Απόρριψη του χαρακτήρα «επιδοματικής λίστας»</w:t>
      </w:r>
    </w:p>
    <w:p/>
    <w:p>
      <w:pPr/>
      <w:r>
        <w:rPr/>
        <w:t xml:space="preserve">Η διαρκής άντληση δεδομένων από το κράτος, χωρίς υποχρεωτικό χαρακτήρα και χωρίς να κατοχυρώνει ουσιαστικά την επαγγελματική ιδιότητα, καθιστά το Μητρώο ένα εργαλείο φακελώματος για τη διαχείριση μελλοντικών επιδομάτων. Αρνούμαστε να αποδεχθούμε την υποβάθμιση του επαγγελματία στον πολιτισμό σε «αιτούντα επιδόματος». Το Μητρώο οφείλει να λειτουργήσει ως θεσμικό εργαλείο εργασίας και όχι ως μηχανισμός διαχείρισης έκτακτων κρίσεων.</w:t>
      </w:r>
    </w:p>
    <w:p/>
    <w:p/>
    <w:p>
      <w:pPr/>
      <w:r>
        <w:rPr/>
        <w:t xml:space="preserve">3. Η αντίφαση της προαιρετικότητας</w:t>
      </w:r>
    </w:p>
    <w:p/>
    <w:p>
      <w:pPr/>
      <w:r>
        <w:rPr/>
        <w:t xml:space="preserve">Εάν ο σκοπός της Πολιτείας είναι η θεσμική προστασία του εργαζόμενου, η προαιρετικότητα του Μητρώου είναι αδιανόητη και αντιφατική. Ζητούμε τη θεσμοθέτηση της υποχρεωτικότητας, ώστε το Μητρώο να αποτελέσει το επίσημο, αδιάβλητο εργαλείο εργασιακής αναγνώρισης που υποσχέθηκε η Πολιτεία, και όχι μια προαιρετική βάση δεδομένων που χρησιμοποιείται κατά το δοκούν.</w:t>
      </w:r>
    </w:p>
    <w:p/>
    <w:p/>
    <w:p>
      <w:pPr/>
      <w:r>
        <w:rPr/>
        <w:t xml:space="preserve">4. Άμεσες συνέπειες του λανθασμένου σχεδιασμού</w:t>
      </w:r>
    </w:p>
    <w:p/>
    <w:p>
      <w:pPr/>
      <w:r>
        <w:rPr/>
        <w:t xml:space="preserve">Το μοντέλο που προωθείται με το άρθρο 122, με τον ελεγκτικό και γραφειοκρατικό του χαρακτήρα, οδηγεί σε μαζική αποχή και αποχώρηση των επαγγελματιών. Ο εργαζόμενος στον πολιτισμό δεν θα προσφέρει τα δεδομένα του σε ένα σύστημα που τον υποτιμά. Επιζητούμε την άμεση αναμόρφωση του Μητρώου σε ένα λειτουργικό εργαλείο που ανταποκρίνεται στις ανάγκες της αγοράς εργασίας και όχι στις ανάγκες των ελεγκτικών μηχανισμών.</w:t>
      </w:r>
    </w:p>
    <w:p/>
    <w:p/>
    <w:p>
      <w:pPr/>
      <w:r>
        <w:rPr/>
        <w:t xml:space="preserve">Καταλήγοντας, επιμένουμε στην υλοποίηση του Μητρώου που υποσχέθηκε η Πολιτεία (όπως είχε δεσμευτεί η υπουργός κυρία Μενδώνη το 2023): ένα εργαλείο θεσμικής κατοχύρωσης της εργασίας και όχι μια πλατφόρμα συλλογής δεδομένων για επιδοματικούς σκοπούς. Ο κλάδος έχει ανάγκη από εργασιακή αναγνώριση και όχι από έναν ακόμη ελεγκτικό μηχανισμό.</w:t>
      </w:r>
    </w:p>
    <w:p/>
    <w:p/>
    <w:p>
      <w:pPr/>
      <w:r>
        <w:rPr/>
        <w:t xml:space="preserve">Με εκτίμηση,</w:t>
      </w:r>
    </w:p>
    <w:p/>
    <w:p>
      <w:pPr/>
      <w:r>
        <w:rPr/>
        <w:t xml:space="preserve">Το Διοικητικό Συμβούλιο της ΕΤΕΚΤ-ΟΤ</w:t>
      </w:r>
    </w:p>
    <w:p/>
    <w:p>
      <w:pPr/>
      <w:r>
        <w:rPr>
          <w:b w:val="1"/>
          <w:bCs w:val="1"/>
        </w:rPr>
        <w:t xml:space="preserve">Σύλλογος Ελλήνων Αρχαιολόγων – 19 Ιουλίου 2026, 19:35</w:t>
      </w:r>
    </w:p>
    <w:p>
      <w:pPr/>
      <w:r>
        <w:rPr/>
        <w:t xml:space="preserve">Άρθρο 108 </w:t>
      </w:r>
    </w:p>
    <w:p/>
    <w:p>
      <w:pPr/>
      <w:r>
        <w:rPr/>
        <w:t xml:space="preserve">Με το άρθρο 108 επιχειρείται να προστεθεί στο άρθρο 2 του Ν. 4858/2021 η έννοια του αρχαιολογικού πάρκου. Η έννοια του αρχαιολογικού πάρκου, όπως περιγράφεται στο εν λόγω άρθρο ταυτίζεται με τον αρχαιολογικό χώρο, όπως έχει ήδη οριστεί από το 2002 με τον Ν. 3028/2002, καθώς η  περιγραφή της νέας οντότητας γίνεται με αδόκιμες αναδιατυπώσεις του ορισμού του αρχαιολογικού χώρου, που στερούνται νέου περιεχομένου. Αυτό είναι εμφανές και από το γεγονός ότι το άρθρο περιλαμβάνει πρόβλεψη καθορισμού ζωνών στα αρχαιολογικά πάρκα, παραπέμποντας στα άρθρα του ν. 4858/2021 που σχετίζονται με τον καθορισμό ζωνών προστασίας στους αρχαιολογικούς χώρους, χωρίς να υπάρχει κάποιου είδους διάκριση. Ως προς το θέμα των ζωνών, σημειώνεται ότι ενώ το αρχαιολογικό πάρκο αποτελεί μια ενιαία εδαφική ενότητα, οι ζώνες αυτού, μπορεί να καθοριστούν γύρω από αυτό και όχι εντός των ορίων του. Κατά συνέπεια, με το συγκεκριμένο άρθρο του νομοσχεδίου προστίθεται πρόβλεψη επιπλέον θεσμικών γραμμών με αλληλοεπικάλυψη και σύγχυση περιεχομένου. Επιπλέον, θεσμοθετείται με ΥΑ του ΥΠΠΟ και όχι με ΚΥΑ, παρότι στον περιβάλλοντα χώρο δύνανται να υπάρχουν και ιδιοκτησίες και άλλες χρήσεις. Ως εκ τούτου, το άρθρο δεν είναι παραδεκτό, είναι αόριστο και για τον καθορισμό της έννοιας του αρχαιολογικού πάρκου απαιτείται περαιτέρω επεξεργασία.</w:t>
      </w:r>
    </w:p>
    <w:p/>
    <w:p>
      <w:pPr/>
      <w:r>
        <w:rPr>
          <w:b w:val="1"/>
          <w:bCs w:val="1"/>
        </w:rPr>
        <w:t xml:space="preserve">ΟΣΔ ΞΕΝΟΦΩΝ – 19 Ιουλίου 2026, 21:04</w:t>
      </w:r>
    </w:p>
    <w:p>
      <w:pPr/>
      <w:r>
        <w:rPr/>
        <w:t xml:space="preserve">ΔΗΜΟΣΙΑ ΔΙΑΒΟΥΛΕΥΣΗ</w:t>
      </w:r>
    </w:p>
    <w:p/>
    <w:p>
      <w:pPr/>
      <w:r>
        <w:rPr/>
        <w:t xml:space="preserve">Παρατηρήσεις επί του άρθρου 127 (μεταβατική διάταξη) και συναφές αίτημα εναρμόνισης του άρθρου 9 του ν. 2121/1993 με τα ευρωπαϊκά δεδομένα Α. Επί της μεταβατικής διάταξης του άρθρου 127 Η μεταβατική διάταξη του άρθρου 127 παρατείνει την ισχύ των αποφάσεων του ΟΠΙ περί κατανομής της εύλογης αμοιβής του έτους 2025 για δύο επιπλέον έτη. Ως εμπλεκόμενος Οργανισμός Συλλογικής Διαχείρισης, θεωρούμε ενδεδειγμένο οι αποφάσεις του ΟΠΙ να βασίζονται σε επίκαιρα στοιχεία, αφενός για να είναι αυτές κατά το δυνατόν αιτιολογημένες, αφετέρου για να καθίσταται δυνατή η δικαστική τους αμφισβήτηση. Αρκετοί ΟΣΔ, ανάμεσά τους και ο ΞΕΝΟΦΩΝ, έχουμε ζητήσει επικαιροποίηση των δεδομένων που αφορούν στις συνήθειες του κοινού ως προς την αντιγραφή πνευματικών έργων μέσω νέας έρευνας πεδίου.</w:t>
      </w:r>
    </w:p>
    <w:p/>
    <w:p>
      <w:pPr/>
      <w:r>
        <w:rPr/>
        <w:t xml:space="preserve">Επισημαίνουμε επίσης ότι από τον Αύγουστο του 2025, ότε και εξεδόθη η απόφαση κατανομής εύλογης αμοιβής 2% και 6% για το έτος 2025, έχουμε νεότερες νομολογιακές εξελίξεις του ΔικΕΕ, οι οποίες αφορούν τον ορισμό των ιδιωτικών αντιγράφων που αποτελούν αντικείμενο αποζημίωσης και σε αυτά δεν συμπεριλαμβάνονται τα αντιγραμμένα/αποθηκευμένα αρχεία από συνδρομητικές υπηρεσίες streaming.</w:t>
      </w:r>
    </w:p>
    <w:p/>
    <w:p>
      <w:pPr/>
      <w:r>
        <w:rPr/>
        <w:t xml:space="preserve">Β. Επί της ανάγκης εναρμόνισης του άρθρου 9 του ν. 2121/1993 με το ευρωπαϊκό consensus. </w:t>
      </w:r>
    </w:p>
    <w:p/>
    <w:p>
      <w:pPr/>
      <w:r>
        <w:rPr/>
        <w:t xml:space="preserve">Οι αποφάσεις του ΟΠΙ για την κατανομή της εύλογης αμοιβής 2% και 6% των τελευταίων ετων δεν περιλαμβανουν τους δημοσιογραφους στην κατηγορια των δημιουργων οπτικοακουστικων εργων, όπως ειναι, ενδεικτικά και οχι περιοριστικα, τα ντοκιμαντέρ, οι ενημερωτικές εκπομπές και τα βίντεο. Σημειωτέον ότι οι δημοσιογράφοι μετέχουν ήδη στην κατανομή της εύλογης αμοιβής και λαμβάνουν αμοιβή για τον λόγο, γραπτό και προφορικό·. Ο ΟΠΙ επικαλείται προς τούτο το άρθρο 9 του ν. 2121/1993,  μολονότι το επικαλούμενο τεκμήριο δεν έχει εμποδίσει, επί δεκαετίες, άλλες κατηγορίες δικαιούχων, όπως σεναριογράφους, μοντέρ και σκηνογράφους, να λαμβάνουν εύλογη αμοιβή. Με δεδομένο ότι το άρθρο 9 ερμηνεύεται από τον ΟΠΙ περιοριστικά μόνον ως προς τους δημοσιογράφους, προς άρση πάσης αμφισβήτησης ή διχογνωμίας, προτείνουμε την εναρμόνισή του άρθρου 9  με τo ευρωπαϊκό consensus.</w:t>
      </w:r>
    </w:p>
    <w:p/>
    <w:p>
      <w:pPr/>
      <w:r>
        <w:rPr/>
        <w:t xml:space="preserve">Συγκεκριμένα, προτείνουμε την εναρμόνιση του άρθρου 9 του ν. 2121/1993 διά της εισαγωγής ρύθμισης αντίστοιχης του άρθρου L.113-7 του γαλλικού Κώδικα Πνευματικής Ιδιοκτησίας. Το γαλλικό άρθρο εισάγει ευρεία οπτική: αναγνωρίζει την ιδιότητα του δημιουργού οπτικοακουστικού έργου σε κάθε φυσικό πρόσωπο που πραγματοποιεί την πνευματική δημιουργία του έργου, καταλαμβάνοντας έτσι και τον δημοσιογράφο που φέρει τη δημιουργική ευθύνη της πραγμάτωσης του ενημερωτικού οπτικοακουστικού έργου, ενώ μεταξύ των τεκμαιρόμενων συνδημιουργών περιλαμβάνει ρητά και τον δημιουργό του προφορικού κειμένου (auteur du texte parlé). Η γαλλική νομοθεσία και νομολογία εφαρμόζουν τη διάταξη όχι μόνο στα κινηματογραφικά έργα μυθοπλασίας, αλλά σε ευρύτερη κατηγορία οπτικοακουστικών παραγωγών, συμπεριλαμβανομένων των ντοκιμαντέρ, των ρεπορτάζ και των λοιπών ενημερωτικών οπτικοακουστικών έργων.</w:t>
      </w:r>
    </w:p>
    <w:p/>
    <w:p>
      <w:pPr/>
      <w:r>
        <w:rPr/>
        <w:t xml:space="preserve">Η εναρμόνιση αυτή κρίνεται αναγκαία, καθώς στις ευρωπαϊκές έννομες τάξεις οι δημοσιογράφοι-δημιουργοί οπτικοακουστικών έργων μετέχουν κανονικά στην αμοιβή ιδιωτικής αντιγραφής και για την οπτικοακουστική κατηγορία, επιπλέον της αμοιβής για τα γραπτά και προφορικά κείμενά τους. Ενδεικτικά αναφέρουμε ότι: (α) στη Γαλλία, ο οργανισμός συλλογικής διαχείρισης SCAM (Société civile des auteurs multimédia) περιλαμβάνει παγίως στο ρεπερτόριό του τα ντοκιμαντέρ και το οπτικοακουστικό ρεπορτάζ, αναγνωρίζει στους δημοσιογράφους την ιδιότητα του δημιουργού για τα οπτικοακουστικά τους έργα και τους αποδίδει, μεταξύ άλλων, αμοιβή ιδιωτικής αντιγραφής· (β) στη Γερμανία, η VG Wort διαθέτει, παράλληλα με τις διανομές για τα κείμενα του Τύπου, χωριστό τομέα διανομής για τα έργα λόγου που μεταδίδονται στην τηλεόραση, με ρητή πρόβλεψη για ρεπορτάζ, ανταποκρίσεις, παρουσιάσεις και συνεντεύξεις και με έσοδα προερχόμενα ιδίως από τις αμοιβές ιδιωτικής αντιγραφής· οι δημοσιογράφοι αμείβονται δηλαδή τόσο για τα κείμενά τους στον Τύπο όσο και, χωριστά, για το τηλεοπτικό τους έργο· (γ) στις Κάτω Χώρες, το Ίδρυμα Lira διανέμει την αμοιβή ιδιωτικής αντιγραφής (thuiskopievergoeding) στους δημοσιογράφους σε διακριτές κατηγορίες γραπτών, ηχητικών και οπτικοακουστικών έργων, έχοντας αποδώσει σε δημοσιογράφους αμοιβή και για ενημερωτικά προγράμματα επικαιρότητας που μεταδόθηκαν στο ραδιόφωνο και την τηλεόραση· (δ) στη Νορβηγία, η Ένωση Νορβηγών Δημοσιογράφων (Norsk Journalistlag), μέλος του οργανισμού συλλογικής διαχείρισης Norwaco, διανέμει ετησίως την αμοιβή ιδιωτικής αντιγραφής σε διακριτές κατηγορίες, οι οποίες περιλαμβάνουν τόσο την αρθρογραφία στον Τύπο όσο και το συντακτικό έργο σε τηλεόραση, ραδιόφωνο και podcast· (ε) στη Φινλανδία, ο οργανισμός Kopiosto, στις οργανώσεις-μέλη του οποίου ανήκει και η Ένωση Φινλανδών Δημοσιογράφων (Journalistiliitto), καταβάλλει την αποζημίωση ιδιωτικής αντιγραφής απευθείας και ατομικά στους δημιουργούς τηλεοπτικών προγραμμάτων. Αντίστοιχες ρυθμίσεις και πρακτικές ισχύουν μεταξύ άλλων στο Βέλγιο, την Αυστρία, τη Δανία και τη Σουηδία.</w:t>
      </w:r>
    </w:p>
    <w:p/>
    <w:p>
      <w:pPr/>
      <w:r>
        <w:rPr/>
        <w:t xml:space="preserve">Στις ευρωπαϊκές, επομένως, έννομες τάξεις τα ενημερωτικά οπτικοακουστικά έργα αντιμετωπίζονται ως έργα με δημιουργό, ο δε δημοσιογράφος που φέρει τη δημιουργική τους ευθύνη μετέχει κανονικά στην εύλογη αμοιβή και για την οπτικοακουστική κατηγορία. Ο αποκλεισμός της κατηγορίας αυτής στην ελληνική πρακτική συνιστά αδικαιολόγητη απόκλιση, την οποία το παρόν νομοσχέδιο προσφέρεται να θεραπεύσει. Είμαστε στη διάθεση του Υπουργείου και της νομοπαρασκευαστικής επιτροπής για την παροχή περαιτέρω νομικής τεκμηρίωσης, με παραπομπές στην ελληνική και τη συγκριτική βιβλιογραφία και νομολογία.</w:t>
      </w:r>
    </w:p>
    <w:p/>
    <w:p>
      <w:pPr/>
      <w:r>
        <w:rPr/>
        <w:t xml:space="preserve">Γ. Πρόταση</w:t>
      </w:r>
    </w:p>
    <w:p/>
    <w:p>
      <w:pPr/>
      <w:r>
        <w:rPr/>
        <w:t xml:space="preserve">Κατά συνέπεια, θεωρούμε ενδεδειγμένο και δικαιότερο η μεταβατική διάταξη του άρθρου 127 του παρόντος να ισχύσει για ένα (1) έτος, ώστε αφενός να μη διαταραχθεί η είσπραξη του έτους 2026, αφετέρου να υπάρξει επαρκής χρόνος για τη διενέργεια έρευνας καταγραφής των συνηθειών του κοινού. Η απόφαση κατανομής του ΟΠΙ για το έτος 2027 να είναι εκείνη που θα ισχύσει επί τριετία, με συνεκτίμηση βεβαίως των πρόσφατων νομολογιακών εξελίξεων του ΔικΕΕ και κατόπιν εναρμόνισης του άρθρου 9 του ν. 2121/1993 με το ευρωπαϊκό consensus κατά τα ανωτέρω.</w:t>
      </w:r>
    </w:p>
    <w:p/>
    <w:p>
      <w:pPr/>
      <w:r>
        <w:rPr>
          <w:b w:val="1"/>
          <w:bCs w:val="1"/>
        </w:rPr>
        <w:t xml:space="preserve">Ενιαίος Σύλλογος Υπαλλήλων ΥΠΠΟ – 20 Ιουλίου 2026, 00:58</w:t>
      </w:r>
    </w:p>
    <w:p>
      <w:pPr/>
      <w:r>
        <w:rPr/>
        <w:t xml:space="preserve">Με το άρθρο 123 δίνεται άλλη μία παράταση στην εκκαθάριση του Ταμείου Αλληλοβοηθειας Υπαλλήλων ΥΠΠΟ, που έχει ξεκινήσει από το 2019! Θυμίζουμε την τότε παρέμβαση μας στην Βουλή, που καθίσταται επίκαιρη ξανά, ειδικά η ακροτελεύτια παράγραφος</w:t>
      </w:r>
    </w:p>
    <w:p/>
    <w:p>
      <w:pPr/>
      <w:r>
        <w:rPr/>
        <w:t xml:space="preserve">"Με βάση τα παραπάνω καθίσταται σαφές ότι η προτεινόμενη ρύθμιση είναι αντιφατική, ψευδεπίγραφη και νομικά έωλη (δεν υφίσταται νομικά η έννοια της «εκκαθάρισης εν λειτουργία», αλλά της «λύσης και εκκαθάρισης»), γεννά ερωτηματικά για τις πραγματικές προθέσεις των συντακτών της, ειδικά ενώ βρίσκονται σε εξέλιξη διαδικασίες δικαστικής διερεύνησης διαχειριστικών και οικονομικών υποθέσεων του ΤΑΥΠ ΥΠΠΟ παρελθόντων ετών και έχουν ασκηθεί διώξεις για κακουργηματικές πράξεις, και δεν εξασφαλίζει τις κατακτήσεις των εργαζόμενων του ΥΠΠΟΑ"</w:t>
      </w:r>
    </w:p>
    <w:p/>
    <w:p>
      <w:pPr/>
      <w:r>
        <w:rPr/>
        <w:t xml:space="preserve">https://eniaiosyppo.gr/2019/11/%cf%80%ce%b1%cf%81%ce%ad%ce%bc%ce%b2%ce%b1%cf%83%ce%b7-%cf%83%cf%84%ce%b7-%ce%b2%ce%bf%cf%85%ce%bb%ce%ae-%ce%b3%ce%b9%ce%b1-%cf%84%ce%bf-%ce%ac%cf%81%ce%b8%cf%81%ce%bf-%ce%bd%cf%8c%ce%bc%ce%bf%cf%85/</w:t>
      </w:r>
    </w:p>
    <w:p/>
    <w:p/>
    <w:p>
      <w:pPr/>
      <w:r>
        <w:rPr/>
        <w:t xml:space="preserve">Χρήσιμο είναι επίσης να θυμίσουμε την δικαστική εξέλιξη της υπόθεσης στον πρώτο βαθμό: https://eniaiosyppo.gr/2025/10/%ce%b3%ce%b9%ce%b1-%cf%84%ce%b7%ce%bd-%ce%b4%ce%b9%ce%ba%ce%b1%cf%83%cf%84%ce%b9%ce%ba%ce%ae-%ce%b1%cf%80%cf%8c%cf%86%ce%b1%cf%83%ce%b7-%cf%83%cf%87%ce%b5%cf%84%ce%b9%ce%ba%ce%ac-%ce%bc%ce%b5-%cf%84-2/</w:t>
      </w:r>
    </w:p>
    <w:p/>
    <w:p>
      <w:pPr/>
      <w:r>
        <w:rPr>
          <w:b w:val="1"/>
          <w:bCs w:val="1"/>
        </w:rPr>
        <w:t xml:space="preserve">Ε******** Ι********** – 20 Ιουλίου 2026, 03:07</w:t>
      </w:r>
    </w:p>
    <w:p>
      <w:pPr/>
      <w:r>
        <w:rPr/>
        <w:t xml:space="preserve">Άρθρο 110</w:t>
      </w:r>
    </w:p>
    <w:p/>
    <w:p>
      <w:pPr/>
      <w:r>
        <w:rPr/>
        <w:t xml:space="preserve">Σύσταση Τμήματος Διαχείρισης της Εθνικής Φωτοθήκης στη Διεύθυνση Διαχείρισης Εθνικού Αρχείου Μνημείων της Γενικής Διεύθυνσης Αρχαιοτήτων και Πολιτιστικής Κληρονομιάς του Υπουργείου Πολιτισμού                                                                                                                                                   </w:t>
      </w:r>
    </w:p>
    <w:p/>
    <w:p/>
    <w:p>
      <w:pPr/>
      <w:r>
        <w:rPr/>
        <w:t xml:space="preserve">το Άρθρο 110 (Μέρος Ε΄, νομοσχέδιο ΥΠΠΟ):</w:t>
      </w:r>
    </w:p>
    <w:p/>
    <w:p>
      <w:pPr/>
      <w:r>
        <w:rPr/>
        <w:t xml:space="preserve">Σχόλιο επί της περ. δ) της παρ. 2 του άρθρου 110</w:t>
      </w:r>
    </w:p>
    <w:p/>
    <w:p>
      <w:pPr/>
      <w:r>
        <w:rPr/>
        <w:t xml:space="preserve">Ο ορισμός της περ. δ) —«έναν (1) φωτογράφο ειδικευμένο στην ιστορία της φωτογραφίας»— εγείρει ζήτημα ορθής οριοθέτησης της απαιτούμενης ειδικότητας. Η ιστορία της φωτογραφίας συνιστά αυτοτελές επιστημονικό και ερευνητικό πεδίο, το οποίο θεραπεύεται διεθνώς όχι αποκλειστικά από επαγγελματίες φωτογράφους, αλλά κατεξοχήν από ιστορικούς τέχνης, θεωρητικούς και ερευνητές φωτογραφίας, ακαδημαϊκούς και επιμελητές με εξειδίκευση στο αντικείμενο, χωρίς οι τελευταίοι να ασκούν κατ' ανάγκην το φωτογραφικό επάγγελμα. Η πρακτική αυτή είναι ευρέως καθιερωμένη στα αντίστοιχα ευρωπαϊκά θεσμικά όργανα (μουσεία φωτογραφίας, αρχεία, ακαδημαϊκά ιδρύματα), όπου η θέση του ιστορικού φωτογραφίας στελεχώνεται με κριτήριο την επιστημονική/ερευνητική κατάρτιση και όχι την ιδιότητα του φωτογράφου.</w:t>
      </w:r>
    </w:p>
    <w:p/>
    <w:p>
      <w:pPr/>
      <w:r>
        <w:rPr/>
        <w:t xml:space="preserve">Η ρύθμιση, όπως διατυπώνεται, περιορίζει αδικαιολόγητα τον κύκλο των υποψηφίων ειδικών, αποκλείοντας a priori πρόσωπα με αναγνωρισμένη επιστημονική συμβολή στην ιστορία της φωτογραφίας που δεν φέρουν την επαγγελματική ιδιότητα του φωτογράφου, κατά παράβαση της αρχής της καταλληλότητας και της αξιοκρατικής στελέχωσης συλλογικών οργάνων με γνωμοδοτικό/αξιολογικό έργο.</w:t>
      </w:r>
    </w:p>
    <w:p/>
    <w:p>
      <w:pPr/>
      <w:r>
        <w:rPr/>
        <w:t xml:space="preserve">Πρόταση διατύπωσης: «έναν (1) ειδικό στην ιστορία της φωτογραφίας, φωτογράφο ή ιστορικό/θεωρητικό της φωτογραφίας».</w:t>
      </w:r>
    </w:p>
    <w:p/>
    <w:p/>
    <w:p>
      <w:pPr/>
      <w:r>
        <w:rPr/>
        <w:t xml:space="preserve">Σχόλιο επί της περ. ε) της παρ. 2 του άρθρου 110</w:t>
      </w:r>
    </w:p>
    <w:p/>
    <w:p>
      <w:pPr/>
      <w:r>
        <w:rPr/>
        <w:t xml:space="preserve">Ομοίως, η περ. ε) —«έναν (1) φωτογράφο ειδικευμένο στη διαχείριση φωτογραφικών συλλογών και στην επιμέλεια εκθέσεων»— συνδέει εσφαλμένα δύο διακριτά αντικείμενα, τη διαχείριση συλλογών και την επιμέλεια εκθέσεων, αποκλειστικά με την ιδιότητα του φωτογράφου. Πρόκειται ωστόσο για αντικείμενα που συνιστούν, κατά κανόνα, πεδίο δραστηριότητας του επιμελητή εκθέσεων (curator), του εφόρου συλλογών ή του διαχειριστή πολιτιστικής κληρονομιάς/αρχείων, ειδικοτήτων με ίδιο, αυτοτελές επιστημονικό και επαγγελματικό περίγραμμα, οι οποίες δεν προϋποθέτουν κατ' ανάγκην φωτογραφική ιδιότητα ή δραστηριότητα.</w:t>
      </w:r>
    </w:p>
    <w:p/>
    <w:p>
      <w:pPr/>
      <w:r>
        <w:rPr/>
        <w:t xml:space="preserve">Η ταύτιση αυτή δεν ανταποκρίνεται στην πραγματικότητα της επαγγελματικής πρακτικής, όπου η επιμέλεια φωτογραφικών εκθέσεων και η διαχείριση φωτογραφικών συλλογών ασκούνται συστηματικά από επιμελητές, μουσειολόγους και διαχειριστές συλλογών χωρίς την ιδιότητα του φωτογράφου, όπως καταδεικνύεται και από την αντίστοιχη διεθνή και ευρωπαϊκή θεσμική πρακτική. Η διατύπωση, ως έχει, οδηγεί σε αδικαιολόγητο περιορισμό του κύκλου των δυνάμει καταλλήλων μελών της Επιτροπής και σε πιθανή αναντιστοιχία ανάμεσα στο απαιτούμενο προσόν και το πραγματικό αντικείμενο της αρμοδιότητας.</w:t>
      </w:r>
    </w:p>
    <w:p/>
    <w:p>
      <w:pPr/>
      <w:r>
        <w:rPr/>
        <w:t xml:space="preserve">Πρόταση διατύπωσης: «έναν (1) ειδικό στη διαχείριση φωτογραφικών συλλογών και στην επιμέλεια εκθέσεων».</w:t>
      </w:r>
    </w:p>
    <w:p/>
    <w:p>
      <w:pPr/>
      <w:r>
        <w:rPr>
          <w:b w:val="1"/>
          <w:bCs w:val="1"/>
        </w:rPr>
        <w:t xml:space="preserve">ΑΘΗΝΑ ΟΣΔΔΘΟΕ – 20 Ιουλίου 2026, 07:09</w:t>
      </w:r>
    </w:p>
    <w:p>
      <w:pPr/>
      <w:r>
        <w:rPr/>
        <w:t xml:space="preserve">Α. Σχόλιο επί του Άρθρου 117 - Εύλογη αμοιβή – Τροποποίηση παρ. 9 άρθρου 18 Ν. 2121/1993</w:t>
      </w:r>
    </w:p>
    <w:p/>
    <w:p>
      <w:pPr/>
      <w:r>
        <w:rPr/>
        <w:t xml:space="preserve">Η περιλαμβανόμενη στο υπό δημόσια διαβούλευση νομοσχέδιο του ΥΠΠΟ τροπολογία του άρθρου 18 παρ. 9 Ν. 2121/1993, που προβλέπει τριετή ισχύ της απόφασης του ΟΠΙ για την κατανομή της εύλογης αμοιβής μεταξύ των οργανισμών συλλογικής διαχείρισης (ΟΣΔ), περιορίζει τη δυνατότητά τους να εκθέτουν ετησίως τις απόψεις τους και να παραθέτουν τις ακολουθούμενες πρακτικές σε διεθνές και ενωσιακό επίπεδο πριν από κάθε νέα απόφαση κατανομής. Η συγκεκριμένη νομοθετική πρωτοβουλία ενδέχεται να δημιουργήσει σημαντικά ζητήματα συμβατότητας με τα νόμιμα συμφέροντα των ΟΣΔ, καθώς και με θεμελιώδεις αρχές της συλλογικής διαχείρισης, όπως αυτές διαμορφώνονται από το εθνικό και ενωσιακό δίκαιο. Ειδικότερα:</w:t>
      </w:r>
    </w:p>
    <w:p/>
    <w:p>
      <w:pPr/>
      <w:r>
        <w:rPr/>
        <w:t xml:space="preserve">1. Νομικό Πλαίσιο και Υφιστάμενη Ρύθμιση</w:t>
      </w:r>
    </w:p>
    <w:p/>
    <w:p>
      <w:pPr/>
      <w:r>
        <w:rPr/>
        <w:t xml:space="preserve">1.1. Διαδικασία Κατανομής Εύλογης Αμοιβής </w:t>
      </w:r>
    </w:p>
    <w:p/>
    <w:p>
      <w:pPr/>
      <w:r>
        <w:rPr/>
        <w:t xml:space="preserve">Σύμφωνα με το ισχύον καθεστώς, η κατανομή της εύλογης αμοιβής μεταξύ των ΟΣΔ γίνεται αρχικά με συμφωνία μεταξύ τους. Εάν δεν επιτευχθεί συμφωνία έως την 1η Απριλίου κάθε έτους, ο ΟΠΙ εκδίδει απόφαση, λαμβάνοντας υπόψη τις απόψεις των ενδιαφερόμενων ΟΣΔ, την καλή πίστη, τα συναλλακτικά ήθη και τις ακολουθούμενες πρακτικές σε διεθνές και ενωσιακό επίπεδο. Οποιοσδήποτε ΟΣΔ διαφωνεί, μπορεί να προσφύγει στο Μονομελές Πρωτοδικείο Αθηνών για διαφορετική κατανομή.</w:t>
      </w:r>
    </w:p>
    <w:p/>
    <w:p>
      <w:pPr/>
      <w:r>
        <w:rPr/>
        <w:t xml:space="preserve">1.2. Αρχή της ετήσιας επανεξέτασης </w:t>
      </w:r>
    </w:p>
    <w:p/>
    <w:p>
      <w:pPr/>
      <w:r>
        <w:rPr/>
        <w:t xml:space="preserve">Η διαδικασία αυτή διασφαλίζει ότι κάθε χρόνο οι ΟΣΔ έχουν το δικαίωμα να εκθέτουν τις απόψεις τους, ούτως ώστε η κατανομή να προσαρμόζεται στις τρέχουσες συνθήκες και πρακτικές, τόσο σε εθνικό, όσο και σε διεθνές και ενωσιακό επίπεδο.</w:t>
      </w:r>
    </w:p>
    <w:p/>
    <w:p>
      <w:pPr/>
      <w:r>
        <w:rPr/>
        <w:t xml:space="preserve">2. Επίδραση της Τροπολογίας (Τριετής Ισχύς Απόφασης ΟΠΙ)</w:t>
      </w:r>
    </w:p>
    <w:p/>
    <w:p>
      <w:pPr/>
      <w:r>
        <w:rPr/>
        <w:t xml:space="preserve">2.1. Περιορισμός Δυνατοτήτων ΟΣΔ</w:t>
      </w:r>
    </w:p>
    <w:p/>
    <w:p>
      <w:pPr/>
      <w:r>
        <w:rPr/>
        <w:t xml:space="preserve">Η προτεινόμενη ρύθμιση, που προβλέπει τριετή ισχύ της απόφασης του ΟΠΙ, σημαίνει ότι οι ΟΣΔ δεν θα έχουν τη δυνατότητα να εκθέτουν ετησίως τις απόψεις τους, κατά τρόπον ώστε να λαμβάνονται υπόψη οι εξελίξεις και πρακτικές σε διεθνές και ενωσιακό επίπεδο πριν από κάθε νέα απόφαση. Αυτό περιορίζει τη συμμετοχή των οργανισμών συλλογικής διαχείρισης στη διαδικασία και ενδέχεται να μην ανταποκρίνεται στις μεταβαλλόμενες συνθήκες της αγοράς ή στις ανάγκες των δικαιούχων.</w:t>
      </w:r>
    </w:p>
    <w:p/>
    <w:p>
      <w:pPr/>
      <w:r>
        <w:rPr/>
        <w:t xml:space="preserve">2.2 Συμβατότητα με τα Νόμιμα Συμφέροντα των ΟΣΔ</w:t>
      </w:r>
    </w:p>
    <w:p/>
    <w:p>
      <w:pPr/>
      <w:r>
        <w:rPr/>
        <w:t xml:space="preserve">Η ετήσια διαδικασία, όπως αυτή προβλέπεται έως σήμερα, διασφαλίζει τη διαφάνεια, τη λογοδοσία και την προσαρμοστικότητα του συστήματος της συλλογικής διαχείρισης. Η τριετής ισχύς ενδέχεται να μην λαμβάνει υπόψη νέες πρακτικές ή αλλαγές στη σύνθεση των ΟΣΔ και στο μέτρο αυτό να περιορίζει σημαντικά τη δυνατότητα των τελευταίων να προασπίζονται αποτελεσματικά τα συμφέροντά τους. Η προτεινόμενη ρύθμιση για τριετή ισχύ της απόφασης του ΟΠΙ παραγνωρίζει ακόμη και το (όχι απίθανο) ενδεχόμενο να μεταβληθεί ο αριθμός των εμπλεκόμενων στην κατανομή ΟΣΔ εντός της τριετίας, χωρίς ωστόσο να προβλέπεται ο κατάλληλος μηχανισμός για να ληφθεί υπόψη από την απόφαση του ΟΠΙ μια τέτοια, έχουσα ουσιώδη επίδραση στην απόφαση κατανομής, μεταβολή. Ως εκ τούτου, η προτεινόμενη τριετής ισχύς της απόφασης του ΟΠΙ ενδέχεται να θίγει την αρχή της διαφάνειας και της ίσης μεταχείρισης μεταξύ των ΟΣΔ, καθώς δεν διασφαλίζεται η τακτική επανεξέταση των δεδομένων και των συμφερόντων όλων των εμπλεκομένων. Παραμένει μόνο η δυνατότητα της προσφυγής στο Μονομελές Πρωτοδικείο Αθηνών, ωστόσο η διαδικασία αυτή δύναται να αποβαίνει ιδιαίτερα δαπανηρή, όσο και σημαντικά πιο χρονοβόρα σε σχέση με την ετήσια διαβούλευση και επανεξέταση.</w:t>
      </w:r>
    </w:p>
    <w:p/>
    <w:p>
      <w:pPr/>
      <w:r>
        <w:rPr/>
        <w:t xml:space="preserve">2.3 Διεθνείς και Ενωσιακές Πρακτικές</w:t>
      </w:r>
    </w:p>
    <w:p/>
    <w:p>
      <w:pPr/>
      <w:r>
        <w:rPr/>
        <w:t xml:space="preserve">Η ανάγκη ετήσιας επανεξέτασης και προσαρμογής της κατανομής της εύλογης αμοιβής συνάδει με τις διεθνείς και ενωσιακές πρακτικές, που απαιτούν διαρκή διαβούλευση και προσαρμογή στις διεθνείς, ενωσιακές και εθνικές νομοθετικές και νομολογιακές εξελίξεις, όσο και στις εξελίξεις της αγοράς και της τεχνολογίας. Συναφώς, η τριετής διάρκεια μπορεί να αποδειχθεί ανεπαρκής για την αντιμετώπιση ταχέων αλλαγών στη νομοθεσία, στην αγορά ή και στη σύνθεση και κατ’ επέκταση στην αντιπροσωπευτικότητα των ΟΣΔ, με αποτέλεσμα να μην εξυπηρετούνται κατά τον πλέον προσήκοντα τρόπο τα συμφέροντα των δικαιούχων.</w:t>
      </w:r>
    </w:p>
    <w:p/>
    <w:p>
      <w:pPr/>
      <w:r>
        <w:rPr/>
        <w:t xml:space="preserve">3. Συμπεράσματα</w:t>
      </w:r>
    </w:p>
    <w:p/>
    <w:p>
      <w:pPr/>
      <w:r>
        <w:rPr/>
        <w:t xml:space="preserve">3.1. Η προτεινόμενη με το άρθρο 117 τροποποίηση δεν θα πρέπει να υιοθετηθεί. Περιορίζει την υφιστάμενη σήμερα δυνατότητα των ΟΣΔ να εκθέτουν ετησίως τις απόψεις τους, κατά τρόπον ώστε να λαμβάνονται υπόψη οι διεθνείς και ενωσιακές εξελίξεις και πρακτικές, γεγονός που ενδέχεται να μην είναι συμβατό με τα νόμιμα συμφέροντά τους.</w:t>
      </w:r>
    </w:p>
    <w:p/>
    <w:p>
      <w:pPr/>
      <w:r>
        <w:rPr/>
        <w:t xml:space="preserve">3.2. Η υφιστάμενη ετήσια διαδικασία διασφαλίζει μεγαλύτερη διαφάνεια, ίση μεταχείριση, ευελιξία, προσαρμοστικότητα στις εξελίξεις και τις πρακτικές σε διεθνές και ενωσιακό επίπεδο και ουσιαστικά εμπεδώνει την δέουσα συμμετοχή των ΟΣΔ στη διαμόρφωση της κατανομής της εύλογης αμοιβής.</w:t>
      </w:r>
    </w:p>
    <w:p/>
    <w:p>
      <w:pPr/>
      <w:r>
        <w:rPr/>
        <w:t xml:space="preserve">3.3. Υπό το πρίσμα αυτό, η τριετής ισχύς της απόφασης του ΟΠΙ μπορεί να οδηγήσει σε στασιμότητα και να μην ανταποκρίνεται στις ανάγκες της αγοράς και των δικαιούχων. Παραμένει η δυνατότητα της δικαστικής προσφυγής, αλλά αυτή δεν υποκαθιστά την ανάγκη για τακτική διαβούλευση και επανεξέταση ανά έτος μέσω της υποβολής των απόψεων των ΟΣΔ.</w:t>
      </w:r>
    </w:p>
    <w:p/>
    <w:p/>
    <w:p>
      <w:pPr/>
      <w:r>
        <w:rPr/>
        <w:t xml:space="preserve">Β. Σχόλιο επί του Άρθρου 118 – Πόροι του Οργανισμού Πνευματικής Ιδιοκτησίας – Εξουσιοδοτική διάταξη – Τροποποίηση παρ. 2 και 3 άρθρου 69 Ν. 2121/1993</w:t>
      </w:r>
    </w:p>
    <w:p/>
    <w:p/>
    <w:p>
      <w:pPr/>
      <w:r>
        <w:rPr/>
        <w:t xml:space="preserve">Θεωρούμε νομικά εφικτό και θεμιτό να τροποποιηθεί η διατύπωση της προτεινόμενης σχετικής διάταξης, κατά τρόπον ώστε ο Οργανισμός Πνευματικής Ιδιοκτησίας (ΟΠΙ) να μην δύναται να χρηματοδοτείται από δημόσιους ή ιδιωτικούς φορείς που είναι ή θα μπορούσαν (εκ του αντικειμένου της δραστηριότητάς τους) να είναι οφειλέτες αμοιβών πνευματικών ή/και συγγενικών δικαιωμάτων, που απορρέουν από το Ν. 2121/1993. Στο μέτρο της αντίληψής μας, μια τέτοια ρύθμιση θα ενίσχυε τη διαφάνεια και την ανεξαρτησία του ΟΠΙ, αποτρέποντας ενδεχόμενες συγκρούσεις συμφερόντων.</w:t>
      </w:r>
    </w:p>
    <w:p/>
    <w:p>
      <w:pPr/>
      <w:r>
        <w:rPr/>
        <w:t xml:space="preserve">1.Υφιστάμενο Νομικό Πλαίσιο.</w:t>
      </w:r>
    </w:p>
    <w:p/>
    <w:p>
      <w:pPr/>
      <w:r>
        <w:rPr/>
        <w:t xml:space="preserve"> Υπενθυμίζεται ότι σύμφωνα με το ισχύον νομοθετικό πλαίσιο (άρθρο 69 Ν. 2121/1993), οι πόροι του ΟΠΙ προέρχονται από:</w:t>
      </w:r>
    </w:p>
    <w:p/>
    <w:p>
      <w:pPr/>
      <w:r>
        <w:rPr/>
        <w:t xml:space="preserve">- Εισφορά 1% επί των ετήσιων ακαθάριστων εσόδων κάθε οργανισμού συλλογικής διαχείρισης και προστασίας, όπως αυτά ορίζονται από το Ενιαίο Λογιστικό Σχέδιο </w:t>
      </w:r>
    </w:p>
    <w:p/>
    <w:p>
      <w:pPr/>
      <w:r>
        <w:rPr/>
        <w:t xml:space="preserve">- Επιχορηγήσεις από διεθνείς οργανισμούς, όργανα της Ευρωπαϊκής Κοινότητας, δωρεές, κληροδοτήματα και κάθε άλλη επιχορήγηση από τρίτους, καθώς και από έσοδα που προκύπτουν από παροχή υπηρεσιών.</w:t>
      </w:r>
    </w:p>
    <w:p/>
    <w:p>
      <w:pPr/>
      <w:r>
        <w:rPr/>
        <w:t xml:space="preserve">- Εφάπαξ χρηματοδότηση από τον κρατικό προϋπολογισμό του Υπουργείου Πολιτισμού, καθώς και από τα έσοδα των αριθμολαχείων ΛΟΤΤΟ και ΠΡΟ-ΤΟ. </w:t>
      </w:r>
    </w:p>
    <w:p/>
    <w:p>
      <w:pPr/>
      <w:r>
        <w:rPr/>
        <w:t xml:space="preserve">2. Νομική βάση για την εισαγωγή περιορισμού της δυνατότητας χρηματοδότησης από φορείς που είναι ή θα μπορούσαν, εκ του αντικειμένου της δραστηριότητάς τους, να είναι οφειλέτες αμοιβών πνευματικών ή/και συγγενικών δικαιωμάτων, που απορρέουν από το Ν. 2121/1993.</w:t>
      </w:r>
    </w:p>
    <w:p/>
    <w:p>
      <w:pPr/>
      <w:r>
        <w:rPr/>
        <w:t xml:space="preserve">2.1. Σύγκρουση Συμφερόντων. </w:t>
      </w:r>
    </w:p>
    <w:p/>
    <w:p>
      <w:pPr/>
      <w:r>
        <w:rPr/>
        <w:t xml:space="preserve">Η δυνατότητα χρηματοδότησης του ΟΠΙ από φορείς, όπως οι αμέσως προαναφερόμενοι (π.χ. ραδιοτηλεοπτικοί οργανισμοί, εκδότες, πάροχοι διαδικτυακών υπηρεσιών, εισαγωγείς / κατασκευαστές υπαγόμενων στο άρθρο 18 παρ. 3 Ν. 2121/1993 τεχνικών μέσων αναπαραγωγής προς ιδιωτική χρήση κλπ) ασφαλώς ενέχει σοβαρό κίνδυνο σύγκρουσης συμφερόντων. Η ανεξαρτησία του ΟΠΙ ως εποπτικού και ελεγκτικού φορέα θα μπορούσε να τεθεί εν αμφιβόλω, εάν χρηματοδοτείται από τους ίδιους τους ελεγχόμενους ή δυνητικά ελεγχόμενους φορείς.</w:t>
      </w:r>
    </w:p>
    <w:p/>
    <w:p>
      <w:pPr/>
      <w:r>
        <w:rPr/>
        <w:t xml:space="preserve">2.2. Νομοθετική Τεκμηρίωση. </w:t>
      </w:r>
    </w:p>
    <w:p/>
    <w:p>
      <w:pPr/>
      <w:r>
        <w:rPr/>
        <w:t xml:space="preserve">Η υφιστάμενη νομοθεσία δεν αποκλείει τη δυνατότητα εισαγωγής περιορισμού της δυνατότητας χρηματοδότησης του ΟΠΙ από φορείς που είναι ή θα μπορούσαν να είναι οφειλέτες αμοιβών πνευματικών ή/και συγγενικών δικαιωμάτων, για λόγους διαφάνειας και αποτροπής σύγκρουσης συμφερόντων. Κατά την εδώ υποστηριζόμενη άποψη, η προσθήκη διάταξης που θα απαγορεύει τη χρηματοδότηση του ΟΠΙ από τέτοιους φορείς, θα διασφάλιζε την ανεξαρτησία του ΟΠΙ και θα ενίσχυε την εμπιστοσύνη των δικαιούχων και της αγοράς στον εποπτικό του ρόλο. Άλλωστε, από την εισαγωγή τοιαύτης διάταξης δεν προκύπτει, κατά την άποψή μας, συνταγματικό ή ενωσιακό κώλυμα, εφόσον ο ΟΠΙ παραμένει επαρκώς χρηματοδοτούμενος από άλλες – ήδη υφιστάμενες σήμερα - πηγές (κρατικός προϋπολογισμός, ΕΕ, διεθνείς οργανισμοί κλπ.).</w:t>
      </w:r>
    </w:p>
    <w:p/>
    <w:p/>
    <w:p/>
    <w:bookmarkStart w:id="5" w:name="og_article_6"/>
    <w:bookmarkEnd w:id="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6 – ΜΕΡΟΣ ΣΤ’ ΕΠΕΙΓΟΥΣΕΣ ΔΙΑΤΑΞΕΙΣ ΤΟΥ ΥΠΟΥΡΓΕΙΟΥ ΠΑΙΔΕΙΑΣ, ΘΡΗΣΚΕΥΜΑΤΩΝ ΚΑΙ ΑΘΛΗΤΙΣΜΟΥ (Άρθρα 128-135)</w:t>
      </w:r>
    </w:p>
    <w:p>
      <w:pPr>
        <w:pStyle w:val="Heading3"/>
      </w:pPr>
      <w:r>
        <w:rPr>
          <w:sz w:val="22"/>
          <w:szCs w:val="22"/>
        </w:rPr>
        <w:t xml:space="preserve">ΜΕΡΟΣ ΣΤ’ ΕΠΕΙΓΟΥΣΕΣ ΔΙΑΤΑΞΕΙΣ ΤΟΥ ΥΠΟΥΡΓΕΙΟΥ ΠΑΙΔΕΙΑΣ, ΘΡΗΣΚΕΥΜΑΤΩΝ ΚΑΙ ΑΘΛΗΤΙΣΜΟΥ (Άρθρα 128-135)</w:t>
      </w:r>
    </w:p>
    <w:p>
      <w:pPr>
        <w:jc w:val="both"/>
      </w:pPr>
      <w:r>
        <w:rPr>
          <w:sz w:val="22"/>
          <w:szCs w:val="22"/>
          <w:b w:val="1"/>
          <w:bCs w:val="1"/>
        </w:rPr>
        <w:t xml:space="preserve"> </w:t>
      </w:r>
    </w:p>
    <w:p>
      <w:pPr>
        <w:jc w:val="both"/>
      </w:pPr>
      <w:r>
        <w:rPr>
          <w:sz w:val="22"/>
          <w:szCs w:val="22"/>
        </w:rPr>
        <w:t xml:space="preserve"> </w:t>
      </w:r>
    </w:p>
    <w:p>
      <w:pPr>
        <w:jc w:val="both"/>
      </w:pPr>
      <w:r>
        <w:rPr>
          <w:sz w:val="22"/>
          <w:szCs w:val="22"/>
          <w:b w:val="1"/>
          <w:bCs w:val="1"/>
        </w:rPr>
        <w:t xml:space="preserve"> </w:t>
      </w:r>
    </w:p>
    <w:p>
      <w:pPr>
        <w:jc w:val="both"/>
      </w:pPr>
      <w:r>
        <w:rPr>
          <w:sz w:val="22"/>
          <w:szCs w:val="22"/>
          <w:b w:val="1"/>
          <w:bCs w:val="1"/>
        </w:rPr>
        <w:t xml:space="preserve">ΚΕΦΑΛΑΙΟ Α΄</w:t>
      </w:r>
    </w:p>
    <w:p>
      <w:pPr>
        <w:jc w:val="both"/>
      </w:pPr>
      <w:r>
        <w:rPr>
          <w:sz w:val="22"/>
          <w:szCs w:val="22"/>
          <w:b w:val="1"/>
          <w:bCs w:val="1"/>
        </w:rPr>
        <w:t xml:space="preserve">ΡΥΘΜΙΣΕΙΣ ΓΙΑ ΤΗΝ ΕΚΠΑΙΔΕΥΣΗ, ΤΗΝ ΑΝΩΤΑΤΗ ΕΚΠΑΙΔΕΥΣΗ ΚΑΙ ΤΑ ΘΡΗΣΚΕΥΜΑΤΑ</w:t>
      </w:r>
    </w:p>
    <w:p>
      <w:pPr>
        <w:jc w:val="both"/>
      </w:pPr>
      <w:r>
        <w:rPr>
          <w:sz w:val="22"/>
          <w:szCs w:val="22"/>
        </w:rPr>
        <w:t xml:space="preserve"> </w:t>
      </w:r>
    </w:p>
    <w:p>
      <w:pPr>
        <w:jc w:val="both"/>
      </w:pPr>
      <w:r>
        <w:rPr>
          <w:sz w:val="22"/>
          <w:szCs w:val="22"/>
          <w:b w:val="1"/>
          <w:bCs w:val="1"/>
        </w:rPr>
        <w:t xml:space="preserve">Άρθρο 128</w:t>
      </w:r>
    </w:p>
    <w:p>
      <w:pPr>
        <w:jc w:val="both"/>
      </w:pPr>
      <w:r>
        <w:rPr>
          <w:sz w:val="22"/>
          <w:szCs w:val="22"/>
          <w:b w:val="1"/>
          <w:bCs w:val="1"/>
        </w:rPr>
        <w:t xml:space="preserve">Παράταση θητείας στελεχών της εκπαίδευσης – Προσθήκη παρ. 1Α στο άρθρο 232 του ν. 4823/2021</w:t>
      </w:r>
    </w:p>
    <w:p>
      <w:pPr>
        <w:jc w:val="both"/>
      </w:pPr>
      <w:r>
        <w:rPr>
          <w:sz w:val="22"/>
          <w:szCs w:val="22"/>
        </w:rPr>
        <w:t xml:space="preserve">Στο άρθρο 232 του ν. 4823/2021 (Α΄ 136) προστίθεται παρ. 1</w:t>
      </w:r>
      <w:r>
        <w:rPr>
          <w:sz w:val="22"/>
          <w:szCs w:val="22"/>
          <w:vertAlign w:val="superscript"/>
        </w:rPr>
        <w:t xml:space="preserve">Α</w:t>
      </w:r>
      <w:r>
        <w:rPr>
          <w:sz w:val="22"/>
          <w:szCs w:val="22"/>
        </w:rPr>
        <w:t xml:space="preserve"> ως εξής:</w:t>
      </w:r>
    </w:p>
    <w:p>
      <w:pPr>
        <w:jc w:val="both"/>
      </w:pPr>
      <w:r>
        <w:rPr>
          <w:sz w:val="22"/>
          <w:szCs w:val="22"/>
        </w:rPr>
        <w:t xml:space="preserve">«1Α. Τα στελέχη της εκπαίδευσης των υποπερ. αγ) και αδ) της περ. α) της παρ. 1 του άρθρου 4, τα οποία έχουν επιλεγεί σύμφωνα με τα άρθρα 30 έως 42 και η θητεία τους λήγει την 31η.7.2026, εξακολουθούν να ασκούν τα καθήκοντά τους μέχρι την επιλογή, τοποθέτηση και ανάληψη υπηρεσίας νέων στελεχών κατά το Κεφάλαιο Β’ του Μέρους Β’. Η παράταση του πρώτου εδαφίου δεν μπορεί να υπερβαίνει την 31η.7.2027.».</w:t>
      </w:r>
    </w:p>
    <w:p>
      <w:pPr>
        <w:jc w:val="both"/>
      </w:pPr>
      <w:r>
        <w:rPr>
          <w:sz w:val="22"/>
          <w:szCs w:val="22"/>
        </w:rPr>
        <w:t xml:space="preserve"> </w:t>
      </w:r>
    </w:p>
    <w:p>
      <w:pPr>
        <w:jc w:val="both"/>
      </w:pPr>
      <w:r>
        <w:rPr>
          <w:sz w:val="22"/>
          <w:szCs w:val="22"/>
          <w:b w:val="1"/>
          <w:bCs w:val="1"/>
        </w:rPr>
        <w:t xml:space="preserve">Άρθρο 129</w:t>
      </w:r>
    </w:p>
    <w:p>
      <w:pPr>
        <w:jc w:val="both"/>
      </w:pPr>
      <w:r>
        <w:rPr>
          <w:sz w:val="22"/>
          <w:szCs w:val="22"/>
          <w:b w:val="1"/>
          <w:bCs w:val="1"/>
        </w:rPr>
        <w:t xml:space="preserve">Συμβάσεις ακαδημαϊκών υποτρόφων ακαδημαϊκού έτους 2026-2027 – Τροποποίηση παρ. 2 άρθρου 466 ν. 4957/2022</w:t>
      </w:r>
    </w:p>
    <w:p>
      <w:pPr>
        <w:jc w:val="both"/>
      </w:pPr>
      <w:r>
        <w:rPr>
          <w:sz w:val="22"/>
          <w:szCs w:val="22"/>
        </w:rPr>
        <w:t xml:space="preserve">Στο τρίτο εδάφιο της παρ. 2 του άρθρου 466 του ν. 4957/2022 (Α’ 141), περί μεταβατικών διατάξεων του Κεφαλαίου Κ’, οι αριθμοί «2025-2026» αντικαθίστανται από τους αριθμούς «2026-2027» και η παρ. 2 διαμορφώνεται ως εξής:</w:t>
      </w:r>
    </w:p>
    <w:p>
      <w:pPr>
        <w:jc w:val="both"/>
      </w:pPr>
      <w:r>
        <w:rPr>
          <w:sz w:val="22"/>
          <w:szCs w:val="22"/>
        </w:rPr>
        <w:t xml:space="preserve"> </w:t>
      </w:r>
    </w:p>
    <w:p>
      <w:pPr>
        <w:jc w:val="both"/>
      </w:pPr>
      <w:r>
        <w:rPr>
          <w:sz w:val="22"/>
          <w:szCs w:val="22"/>
        </w:rPr>
        <w:t xml:space="preserve">«2. Ακαδημαϊκοί υπότροφοι που έχουν επιλεγεί σύμφωνα με τη διαδικασία της παρ. 7 του άρθρου 29 του ν. 4009/2011 (Α’ 195), καθώς και όσοι επιλεγούν στο πλαίσιο προκηρύξεων που έχουν ήδη εκδοθεί κατά τη δημοσίευση του παρόντος ή προκηρύξεων που αναμένεται να δημοσιευθούν από Τμήματα των Ανώτατων Εκπαιδευτικών Ιδρυμάτων (Α.Ε.Ι.) ή στο πλαίσιο συγχρηματοδοτούμενων προγραμμάτων για την κάλυψη των διδακτικών αναγκών του ακαδημαϊκού έτους 2022-2023 ισχύουν έως τη λήξη τους. Οι ακαδημαϊκοί υπότροφοι και τα Α.Ε.Ι. διατηρούν το δικαίωμα ανανέωσης της σύμβασής τους έως τη συμπλήρωση τριών (3) ακαδημαϊκών ετών, σύμφωνα με την παρ. 7 του άρθρου 29 του ν. 4009/2011, με τους ίδιους όρους και προϋποθέσεις, εφόσον υπήρχε σχετικός όρος στην προκήρυξη, σύμφωνα με την οποία επελέγησαν. Συμβάσεις ακαδημαϊκών υποτρόφων δύνανται να συνάπτονται ή να ανανεώνονται σύμφωνα με τη διαδικασία της παρ. 7 του άρθρου 29 του ν. 4009/2011 για τις ανάγκες των Τμημάτων ή Μονοτμηματικών Σχολών των Ανώτατων Εκπαιδευτικών Ιδρυμάτων (Α.Ε.Ι.) έως και το ακαδημαϊκό έτος 2026-2027.».</w:t>
      </w:r>
    </w:p>
    <w:p>
      <w:pPr>
        <w:jc w:val="both"/>
      </w:pPr>
      <w:r>
        <w:rPr>
          <w:sz w:val="22"/>
          <w:szCs w:val="22"/>
        </w:rPr>
        <w:t xml:space="preserve"> </w:t>
      </w:r>
    </w:p>
    <w:p>
      <w:pPr>
        <w:jc w:val="both"/>
      </w:pPr>
      <w:r>
        <w:rPr>
          <w:sz w:val="22"/>
          <w:szCs w:val="22"/>
          <w:b w:val="1"/>
          <w:bCs w:val="1"/>
        </w:rPr>
        <w:t xml:space="preserve">Άρθρο 130</w:t>
      </w:r>
    </w:p>
    <w:p>
      <w:pPr>
        <w:jc w:val="both"/>
      </w:pPr>
      <w:r>
        <w:rPr>
          <w:sz w:val="22"/>
          <w:szCs w:val="22"/>
          <w:b w:val="1"/>
          <w:bCs w:val="1"/>
        </w:rPr>
        <w:t xml:space="preserve">Υποχρέωση καταβολής ειδικού τέλους πιστοποίησης εσωτερικού συστήματος διασφάλισης ποιότητας και προγραμμάτων σπουδών παραρτημάτων Νομικών Προσώπων Πανεπιστημιακής Εκπαίδευσης – Προσθήκη παρ. 5Α στο άρθρο 145 και τροποποίηση παρ. 1 άρθρου 190 ν. 5094/2024</w:t>
      </w:r>
    </w:p>
    <w:p>
      <w:pPr>
        <w:numPr>
          <w:ilvl w:val="0"/>
          <w:numId w:val="102"/>
        </w:numPr>
      </w:pPr>
      <w:r>
        <w:rPr>
          <w:sz w:val="22"/>
          <w:szCs w:val="22"/>
        </w:rPr>
        <w:t xml:space="preserve">Στο άρθρο 145 του ν. 5094/2024 (Α΄ 39), περί της πιστοποίησης των προγραμμάτων σπουδών των παραρτημάτων – Νομικών Προσώπων Πανεπιστημιακής Εκπαίδευσης (Ν.Π.Π.Ε.), προστίθεται παρ. 5Α ως εξής:</w:t>
      </w:r>
    </w:p>
    <w:p>
      <w:pPr>
        <w:jc w:val="both"/>
      </w:pPr>
      <w:r>
        <w:rPr>
          <w:sz w:val="22"/>
          <w:szCs w:val="22"/>
        </w:rPr>
        <w:t xml:space="preserve"> </w:t>
      </w:r>
    </w:p>
    <w:p>
      <w:pPr>
        <w:jc w:val="both"/>
      </w:pPr>
      <w:r>
        <w:rPr>
          <w:sz w:val="22"/>
          <w:szCs w:val="22"/>
        </w:rPr>
        <w:t xml:space="preserve">«5Α. Το παράρτημα Νομικού Προσώπου Πανεπιστημιακής Εκπαίδευσης (Ν.Π.Π.Ε.) καταβάλλει στην Εθνική Αρχή Ανώτατης Εκπαίδευσης (ΕΘ.Α.Α.Ε.) ειδικό τέλος πιστοποίησης κατά την υποβολή της αίτησης για την πιστοποίηση του εσωτερικού συστήματος διασφάλισης ποιότητάς του, καθώς και για κάθε πιστοποίηση προγράμματος σπουδών πρώτου, δεύτερου ή τρίτου κύκλου. Το ύψος του ειδικού τέλους ανέρχεται σε:</w:t>
      </w:r>
    </w:p>
    <w:p>
      <w:pPr>
        <w:jc w:val="both"/>
      </w:pPr>
      <w:r>
        <w:rPr>
          <w:sz w:val="22"/>
          <w:szCs w:val="22"/>
        </w:rPr>
        <w:t xml:space="preserve">α) δεκαπέντε χιλιάδες (15.000) ευρώ για την πιστοποίηση του εσωτερικού συστήματος διασφάλισης ποιότητας του παραρτήματος Ν.Π.Π.Ε.,</w:t>
      </w:r>
    </w:p>
    <w:p>
      <w:pPr>
        <w:jc w:val="both"/>
      </w:pPr>
      <w:r>
        <w:rPr>
          <w:sz w:val="22"/>
          <w:szCs w:val="22"/>
        </w:rPr>
        <w:t xml:space="preserve">β) δώδεκα χιλιάδες (12.000) ευρώ για κάθε πιστοποίηση προγράμματος σπουδών πρώτου, δεύτερου ή τρίτου κύκλου, η οποία πραγματοποιείται δια ζώσης,</w:t>
      </w:r>
    </w:p>
    <w:p>
      <w:pPr>
        <w:jc w:val="both"/>
      </w:pPr>
      <w:r>
        <w:rPr>
          <w:sz w:val="22"/>
          <w:szCs w:val="22"/>
        </w:rPr>
        <w:t xml:space="preserve">γ) σε έξι χιλιάδες (6.000) ευρώ για κάθε πιστοποίηση προγράμματος σπουδών πρώτου, δεύτερου ή τρίτου κύκλου η οποία πραγματοποιείται εξ αποστάσεως.</w:t>
      </w:r>
    </w:p>
    <w:p>
      <w:pPr>
        <w:jc w:val="both"/>
      </w:pPr>
      <w:r>
        <w:rPr>
          <w:sz w:val="22"/>
          <w:szCs w:val="22"/>
        </w:rPr>
        <w:t xml:space="preserve">Το ποσό του ειδικού τέλους αποτελεί έσοδο του κρατικού προϋπολογισμού και εγγράφεται στον οικείο Αναλυτικό Λογαριασμό Εσόδων (Α.Λ.Ε.), το οποίο εγγράφεται, σύμφωνα με το άρθρο 74 του ν. 4270/2014 (Α΄ 143) στον Ειδικό Φορέα 1/020-802-0000000 «Δαπάνες της Ανεξάρτητης Αρχής Διασφάλισης της Ποιότητας στην Ανώτατη Εκπαίδευση που καλύπτονται από τον προϋπολογισμό του Υπουργείου Παιδείας, Θρησκευμάτων» του τακτικού προϋπολογισμού του Υπουργείου Παιδείας, Θρησκευμάτων και Αθλητισμού».</w:t>
      </w:r>
    </w:p>
    <w:p>
      <w:pPr>
        <w:numPr>
          <w:ilvl w:val="0"/>
          <w:numId w:val="103"/>
        </w:numPr>
      </w:pPr>
      <w:r>
        <w:rPr>
          <w:sz w:val="22"/>
          <w:szCs w:val="22"/>
        </w:rPr>
        <w:t xml:space="preserve">Στην παρ. 1 του άρθρου 190 του ν. 5094/2024, περί των εξουσιοδοτικών διατάξεων του Κεφαλαίου Δ΄ του Μέρους Δ΄, επέρχονται οι ακόλουθες τροποποιήσεις: α) το υφιστάμενο εδάφιο τίθεται ως περ. α), β) προστίθεται περ. β) και η παρ. 1 διαμορφώνεται ως εξής:</w:t>
      </w:r>
    </w:p>
    <w:p>
      <w:pPr>
        <w:jc w:val="both"/>
      </w:pPr>
      <w:r>
        <w:rPr>
          <w:sz w:val="22"/>
          <w:szCs w:val="22"/>
        </w:rPr>
        <w:t xml:space="preserve">«1. α) Με απόφαση της Εθνικής Αρχής Ανώτατης Εκπαίδευσης (ΕΘ.Α.Α.Ε.) προσδιορίζονται τα επιμέρους κριτήρια, οι δείκτες και οι προϋποθέσεις, που πρέπει να πληροί κάθε παράρτημα Νομικού Προσώπου Πανεπιστημιακής Εκπαίδευσης (Ν.Π.Π.Ε.) για την αξιολόγηση και πιστοποίησή του, καθώς και κάθε άλλο θέμα σχετικό με την εφαρμογή του άρθρου 145.</w:t>
      </w:r>
    </w:p>
    <w:p>
      <w:pPr>
        <w:jc w:val="both"/>
      </w:pPr>
      <w:r>
        <w:rPr>
          <w:sz w:val="22"/>
          <w:szCs w:val="22"/>
        </w:rPr>
        <w:t xml:space="preserve">β) Με κοινή απόφαση των Υπουργών Παιδείας, Θρησκευμάτων και Αθλητισμού και Εθνικής Οικονομίας και Οικονομικών, ύστερα από εισήγηση του Ανώτατου Συμβουλίου της ΕΘ.Α.Α.Ε., δύναται να αναπροσαρμόζεται το ύψος του ειδικού τέλους πιστοποίησης για την πιστοποίηση του εσωτερικού συστήματος διασφάλισης ποιότητας και των προγραμμάτων σπουδών πρώτου, δεύτερου ή τρίτου κύκλου των παραρτημάτων Ν.Π.Π.Ε., που προβλέπεται στην παρ. 5Α του άρθρου 145.».</w:t>
      </w:r>
    </w:p>
    <w:p>
      <w:pPr>
        <w:jc w:val="both"/>
      </w:pPr>
      <w:r>
        <w:rPr>
          <w:sz w:val="22"/>
          <w:szCs w:val="22"/>
        </w:rPr>
        <w:t xml:space="preserve"> </w:t>
      </w:r>
    </w:p>
    <w:p>
      <w:pPr>
        <w:jc w:val="both"/>
      </w:pPr>
      <w:r>
        <w:rPr>
          <w:sz w:val="22"/>
          <w:szCs w:val="22"/>
          <w:b w:val="1"/>
          <w:bCs w:val="1"/>
        </w:rPr>
        <w:t xml:space="preserve">Άρθρο 131</w:t>
      </w:r>
    </w:p>
    <w:p>
      <w:pPr>
        <w:jc w:val="both"/>
      </w:pPr>
      <w:r>
        <w:rPr>
          <w:sz w:val="22"/>
          <w:szCs w:val="22"/>
          <w:b w:val="1"/>
          <w:bCs w:val="1"/>
        </w:rPr>
        <w:t xml:space="preserve">Άσκηση επαγγελματικής δραστηριότητας κατόχων τίτλων σπουδών ιδρυμάτων Ηνωμένου Βασιλείου</w:t>
      </w:r>
    </w:p>
    <w:p>
      <w:pPr>
        <w:jc w:val="both"/>
      </w:pPr>
      <w:r>
        <w:rPr>
          <w:sz w:val="22"/>
          <w:szCs w:val="22"/>
        </w:rPr>
        <w:t xml:space="preserve">Για τους κατόχους τίτλων τυπικής ανώτατης εκπαίδευσης που επιτρέπουν την πρόσβαση σε επάγγελμα του Κεφαλαίου ΙΙΙ του Τίτλου ΙΙΙ του π.δ. 38/2010 (Α΄ 78) και απονέμονται από ιδρύματα τυπικής ανώτατης εκπαίδευσης του Ηνωμένου Βασιλείου, κατόπιν φοίτησης σε φορέα αδειοδοτημένο για το συγκεκριμένο πρόγραμμα σπουδών, η άσκηση της σχετικής επαγγελματικής δραστηριότητας επιτρέπεται, κατόπιν πράξης αναγνώρισης του τίτλου σπουδών από το Αυτοτελές Τμήμα Εφαρμογής της Ευρωπαϊκής Νομοθεσίας (Α.Τ.Ε.Ε.Ν.) του Υπουργείου Παιδείας, Θρησκευμάτων και Αθλητισμού, κατ’ εφαρμογή της παρ. 3 του άρθρου 2 του π.δ. 38/2010.</w:t>
      </w:r>
    </w:p>
    <w:p>
      <w:pPr>
        <w:jc w:val="both"/>
      </w:pPr>
      <w:r>
        <w:rPr>
          <w:sz w:val="22"/>
          <w:szCs w:val="22"/>
        </w:rPr>
        <w:t xml:space="preserve"> </w:t>
      </w:r>
    </w:p>
    <w:p>
      <w:pPr>
        <w:jc w:val="both"/>
      </w:pPr>
      <w:r>
        <w:rPr>
          <w:sz w:val="22"/>
          <w:szCs w:val="22"/>
          <w:b w:val="1"/>
          <w:bCs w:val="1"/>
        </w:rPr>
        <w:t xml:space="preserve">Άρθρο 132</w:t>
      </w:r>
    </w:p>
    <w:p>
      <w:pPr>
        <w:jc w:val="both"/>
      </w:pPr>
      <w:r>
        <w:rPr>
          <w:sz w:val="22"/>
          <w:szCs w:val="22"/>
          <w:b w:val="1"/>
          <w:bCs w:val="1"/>
        </w:rPr>
        <w:t xml:space="preserve"> </w:t>
      </w:r>
    </w:p>
    <w:p>
      <w:pPr>
        <w:jc w:val="both"/>
      </w:pPr>
      <w:r>
        <w:rPr>
          <w:sz w:val="22"/>
          <w:szCs w:val="22"/>
          <w:b w:val="1"/>
          <w:bCs w:val="1"/>
        </w:rPr>
        <w:t xml:space="preserve">Παροχή υπηρεσιών προετοιμασίας τεθνεώτων μουσουλμάνων στο κτίριο του Ισλαμικού Τεμένους Αθηνών – Προσθήκη άρθρου 58Α στον ν. 4807/2021</w:t>
      </w:r>
    </w:p>
    <w:p>
      <w:pPr>
        <w:jc w:val="both"/>
      </w:pPr>
      <w:r>
        <w:rPr>
          <w:sz w:val="22"/>
          <w:szCs w:val="22"/>
        </w:rPr>
        <w:t xml:space="preserve">Στον ν. 4807/2021 (Α’ 96), προστίθεται άρθρο 58Α ως εξής:</w:t>
      </w:r>
    </w:p>
    <w:p>
      <w:pPr>
        <w:jc w:val="both"/>
      </w:pPr>
      <w:r>
        <w:rPr>
          <w:sz w:val="22"/>
          <w:szCs w:val="22"/>
        </w:rPr>
        <w:t xml:space="preserve">«Άρθρο 58Α</w:t>
      </w:r>
    </w:p>
    <w:p>
      <w:pPr>
        <w:jc w:val="both"/>
      </w:pPr>
      <w:r>
        <w:rPr>
          <w:sz w:val="22"/>
          <w:szCs w:val="22"/>
        </w:rPr>
        <w:t xml:space="preserve">Παροχή υπηρεσιών προετοιμασίας τεθνεώτων μουσουλμάνων στο κτίριο του Ισλαμικού Τεμένους Αθηνών</w:t>
      </w:r>
    </w:p>
    <w:p>
      <w:pPr>
        <w:numPr>
          <w:ilvl w:val="0"/>
          <w:numId w:val="104"/>
        </w:numPr>
      </w:pPr>
      <w:r>
        <w:rPr>
          <w:sz w:val="22"/>
          <w:szCs w:val="22"/>
        </w:rPr>
        <w:t xml:space="preserve">Επιτρέπεται η παροχή υπηρεσιών πλύσης, περιποίησης και φροντίδας των σορών τεθνεώτων μουσουλμανικού θρησκεύματος, σύμφωνα με τα ισλαμικά ταφικά έθιμα και τους ισλαμικούς ταφικούς κανόνες, σε διακριτό, στεγασμένο και ειδικά διαμορφωμένο χώρο εντός του κτιρίου του Ισλαμικού Τεμένους Αθηνών, ο οποίος προορίζεται αποκλειστικά για τους σκοπούς της παρούσας.</w:t>
      </w:r>
    </w:p>
    <w:p>
      <w:pPr>
        <w:numPr>
          <w:ilvl w:val="0"/>
          <w:numId w:val="104"/>
        </w:numPr>
      </w:pPr>
      <w:r>
        <w:rPr>
          <w:sz w:val="22"/>
          <w:szCs w:val="22"/>
        </w:rPr>
        <w:t xml:space="preserve">Η μεταφορά των σορών από και προς το Ισλαμικό Τέμενος Αθηνών επιτρέπεται μόνο με τα οχήματα μεταφοράς σορού της παρ. 3 του άρθρου 58 ή με οχήματα μεταφοράς αδειοδοτημένων γραφείων τελετών και με τη συνοδεία πιστοποιητικού θανάτου. Δεν επιτρέπεται η παραμονή των σορών στο Ισλαμικό Τέμενος Αθηνών μετά την ολοκλήρωση της διαδικασίας της παρ. 1.</w:t>
      </w:r>
    </w:p>
    <w:p>
      <w:pPr>
        <w:numPr>
          <w:ilvl w:val="0"/>
          <w:numId w:val="104"/>
        </w:numPr>
      </w:pPr>
      <w:r>
        <w:rPr>
          <w:sz w:val="22"/>
          <w:szCs w:val="22"/>
        </w:rPr>
        <w:t xml:space="preserve">Με απόφαση του Διοικητικού Συμβουλίου του νομικού προσώπου ιδιωτικού δικαίου με την επωνυμία «Διοικούσα Επιτροπή Ισλαμικού Τεμένους Αθηνών»:</w:t>
      </w:r>
    </w:p>
    <w:p>
      <w:pPr>
        <w:jc w:val="both"/>
      </w:pPr>
      <w:r>
        <w:rPr>
          <w:sz w:val="22"/>
          <w:szCs w:val="22"/>
        </w:rPr>
        <w:t xml:space="preserve">α) προσδιορίζεται ο χώρος της παρ. 1 και</w:t>
      </w:r>
    </w:p>
    <w:p>
      <w:pPr>
        <w:jc w:val="both"/>
      </w:pPr>
      <w:r>
        <w:rPr>
          <w:sz w:val="22"/>
          <w:szCs w:val="22"/>
        </w:rPr>
        <w:t xml:space="preserve">β) καθορίζονται οι αναγκαίες λεπτομέρειες για τη διαδικασία πλύσης, περιποίησης και φροντίδας των τεθνεώτων μουσουλμάνων, σύμφωνα με τα ισλαμικά ταφικά έθιμα και τους ισλαμικούς ταφικούς κανόνες, καθώς και με τις ισχύουσες γενικές και ειδικές οδηγίες υγιεινής.».</w:t>
      </w:r>
    </w:p>
    <w:p>
      <w:pPr>
        <w:jc w:val="both"/>
      </w:pPr>
      <w:r>
        <w:rPr>
          <w:sz w:val="22"/>
          <w:szCs w:val="22"/>
        </w:rPr>
        <w:t xml:space="preserve"> </w:t>
      </w:r>
    </w:p>
    <w:p>
      <w:pPr>
        <w:jc w:val="both"/>
      </w:pPr>
      <w:r>
        <w:rPr>
          <w:sz w:val="22"/>
          <w:szCs w:val="22"/>
          <w:b w:val="1"/>
          <w:bCs w:val="1"/>
        </w:rPr>
        <w:t xml:space="preserve">ΚΕΦΑΛΑΙΟ Β΄</w:t>
      </w:r>
    </w:p>
    <w:p>
      <w:pPr>
        <w:jc w:val="both"/>
      </w:pPr>
      <w:r>
        <w:rPr>
          <w:sz w:val="22"/>
          <w:szCs w:val="22"/>
          <w:b w:val="1"/>
          <w:bCs w:val="1"/>
        </w:rPr>
        <w:t xml:space="preserve">ΡΥΘΜΙΣΕΙΣ ΓΙΑ ΤΟΝ ΑΘΛΗΤΙΣΜΟ</w:t>
      </w:r>
    </w:p>
    <w:p>
      <w:pPr>
        <w:jc w:val="both"/>
      </w:pPr>
      <w:r>
        <w:rPr>
          <w:sz w:val="22"/>
          <w:szCs w:val="22"/>
          <w:b w:val="1"/>
          <w:bCs w:val="1"/>
        </w:rPr>
        <w:t xml:space="preserve"> </w:t>
      </w:r>
    </w:p>
    <w:p>
      <w:pPr>
        <w:jc w:val="both"/>
      </w:pPr>
      <w:r>
        <w:rPr>
          <w:sz w:val="22"/>
          <w:szCs w:val="22"/>
          <w:b w:val="1"/>
          <w:bCs w:val="1"/>
        </w:rPr>
        <w:t xml:space="preserve">Άρθρο 133</w:t>
      </w:r>
    </w:p>
    <w:p>
      <w:pPr>
        <w:jc w:val="both"/>
      </w:pPr>
      <w:r>
        <w:rPr>
          <w:sz w:val="22"/>
          <w:szCs w:val="22"/>
          <w:b w:val="1"/>
          <w:bCs w:val="1"/>
        </w:rPr>
        <w:t xml:space="preserve">Αναγραφή στοιχείων προπονητή στα φύλλα ή πινάκια αγώνα – Οικονομική επιβράβευση προπονητών ομαδικών αθλημάτων – Τροποποίηση περ. β) παρ. 4 και παρ. 7 άρθρου 31 ν. 2725/1999</w:t>
      </w:r>
    </w:p>
    <w:p>
      <w:pPr>
        <w:numPr>
          <w:ilvl w:val="0"/>
          <w:numId w:val="105"/>
        </w:numPr>
      </w:pPr>
      <w:r>
        <w:rPr>
          <w:sz w:val="22"/>
          <w:szCs w:val="22"/>
        </w:rPr>
        <w:t xml:space="preserve">Στην περ. β) της παρ. 4 του άρθρου 31 του ν. 2725/1999 (Α’ 121), περί προπονητή, επέρχονται οι ακόλουθες τροποποιήσεις: α) προστίθεται νέο δεύτερο εδάφιο, β) μετά από το υφιστάμενο δεύτερο εδάφιο προστίθενται νέο εδάφια τέταρτο, πέμπτο και έκτο και η περ. β) διαμορφώνεται ως εξής:</w:t>
      </w:r>
    </w:p>
    <w:p>
      <w:pPr>
        <w:jc w:val="both"/>
      </w:pPr>
      <w:r>
        <w:rPr>
          <w:sz w:val="22"/>
          <w:szCs w:val="22"/>
        </w:rPr>
        <w:t xml:space="preserve">«β) Ο σύνδεσμος των προπονητών του αθλήματος ή, εφόσον τέτοιος δεν υπάρχει, η οικεία αθλητική ομοσπονδία εκδίδει Δελτίο Ταυτότητας Προπονητή (ΔΤΠ) σε όσους έχουν καταχωρηθεί στο ηλεκτρονικό μητρώο προπονητών, που τηρείται στη Γ.Γ.Α., σύμφωνα με την παρ. 2. Στο ΔΤΠ αναγράφεται υποχρεωτικά ο ατομικός αριθμός του ηλεκτρονικού μητρώου προπονητών, που τηρείται στη Γ.Γ.Α. Ο έλεγχος του ΔΤΠ γίνεται σε κάθε επίσημα οργανωμένο πρωτάθλημα ή αθλητική διοργάνωση του αθλήματος και είναι προϋπόθεση για την πρόσβαση στον χώρο διεξαγωγής των αγώνων. Στο φύλλο ή στο πινάκιο του αγώνα, εκτός από το ονοματεπώνυμο του προπονητή που καθοδηγεί τον αθλητή ή την ομάδα, αναγράφεται ο ατομικός αριθμός μητρώου του δεύτερου εδαφίου και ο αριθμός του ΔΤΠ. Η μη αναγραφή στο φύλλο ή στο πινάκιο του αγώνα των στοιχείων του τέταρτου εδαφίου ή η αναγραφή στοιχείων προπονητή που δεν είναι εγγεγραμμένος στο ηλεκτρονικό μητρώο προπονητών που τηρείται στη Γ.Γ.Α., εκτός των προβλεπόμενων στις επιμέρους διατάξεις του παρόντος νόμου συνεπειών, επισύρει επιπλέον για τον αθλητή, το σωματείο, το Τμήμα Αμειβόμενων Αθλητών (Τ.Α.Α.) ή την Αθλητική Ανώνυμη Εταιρεία (Α.Α.Ε.), κατά περίπτωση, τις κυρώσεις που προβλέπονται από τους οικείους κανονισμούς για την αντικανονική συμμετοχή αθλητή σε αγώνα. Το εδάφια τρίτο και πέμπτο δεν εφαρμόζονται στις Ποδοσφαιρικές Ανώνυμες Εταιρείες (Π.Α.Ε.) που είναι μέλη των επαγγελματικών ενώσεων ποδοσφαίρου των παρ. 1 και 2 του άρθρου 97 και στις Καλαθοσφαιρικές Ανώνυμες Εταιρείες (Κ.Α.Ε.) που είναι τακτικά μέλη του Ελληνικού Συνδέσμου Ανωνύμων Καλαθοσφαιρικών Εταιρειών (Ε.Σ.Α.Κ.Ε.), σύμφωνα με την περ. α) της παρ. 2 του άρθρου 105.».</w:t>
      </w:r>
    </w:p>
    <w:p>
      <w:pPr>
        <w:numPr>
          <w:ilvl w:val="0"/>
          <w:numId w:val="106"/>
        </w:numPr>
      </w:pPr>
      <w:r>
        <w:rPr>
          <w:sz w:val="22"/>
          <w:szCs w:val="22"/>
        </w:rPr>
        <w:t xml:space="preserve">Στο πρώτο εδάφιο της παρ. 7 του άρθρου 31 του ν. 2725/1999 επέρχονται οι ακόλουθες τροποποιήσεις: α) μετά από τις λέξεις «στην παρ. 2 του άρθρου 34» προστίθενται οι λέξεις «, αν πρόκειται για ατομικό αγώνισμα,», β) στο τέλος του πρώτου εδαφίου, μετά από τις λέξεις «το ως άνω άρθρο», προστίθενται οι λέξεις «, ενώ, αν πρόκειται για ομαδικό άθλημα, χορηγείται το πλήρες ποσό της επιβράβευσης που αναλογεί σε αθλητή ατομικού αγωνίσματος» και η παρ. 7 διαμορφώνεται ως εξής:</w:t>
      </w:r>
    </w:p>
    <w:p>
      <w:pPr>
        <w:jc w:val="both"/>
      </w:pPr>
      <w:r>
        <w:rPr>
          <w:sz w:val="22"/>
          <w:szCs w:val="22"/>
        </w:rPr>
        <w:t xml:space="preserve">«7. Στον προπονητή, του οποίου αθλητής ή ομάδα σημείωσε μία από τις διακρίσεις που προβλέπονται στην παρ. 2 του άρθρου 34, αν πρόκειται για ατομικό αγώνισμα, χορηγείται ποσοστό πενήντα τοις εκατό (50%) της οικονομικής επιβράβευσης που προβλέπεται για τον αθλητή ατομικού αγωνίσματος, σύμφωνα με το ως άνω άρθρο, ενώ, αν πρόκειται για ομαδικό άθλημα, χορηγείται το πλήρες ποσό της επιβράβευσης που αναλογεί σε αθλητή ατομικού αγωνίσματος. Αν ο ίδιος αθλητής, ή περισσότεροι του ενός αθλητές, ή ομάδες του ίδιου προπονητή σημειώσουν μια από τις παραπάνω διακρίσεις, το χορηγούμενο στον προπονητή ποσοστό του προηγούμενου εδαφίου υπολογίζεται επί της μεγαλύτερης από τις διακρίσεις που σημείωσαν οι αθλητές του και προσαυξάνεται κατά ποσοστό που καθορίζεται με την απόφαση της περ. δ) της παρ. 12 για καθεμία από τις υπόλοιπες διακρίσεις. Η παρ. 2α) του άρθρου 15 του ν. 4172/2013 (Α` 167), εφαρμόζεται αναλόγως και στους προπονητές.</w:t>
      </w:r>
    </w:p>
    <w:p>
      <w:pPr>
        <w:jc w:val="both"/>
      </w:pPr>
      <w:r>
        <w:rPr>
          <w:sz w:val="22"/>
          <w:szCs w:val="22"/>
        </w:rPr>
        <w:t xml:space="preserve">Στην περίπτωση των κλάδων άθλησης στους οποίους, εκτός από τον προπονητή, απασχολήθηκε και χορογράφος, η οικονομική επιβράβευση του παρόντος επιμερίζεται μεταξύ τους κατ` ίσα μέρη. Αν στην επίτευξη της διάκρισης κατά την έννοια της παρ. 2 του άρθρου 34 έχουν συμβάλει περισσότεροι από ένας προπονητές ή άλλοι επιστημονικοί συνεργάτες, ανάλογα με τις ιδιαιτερότητες του αθλήματος ή του αγωνίσματος, το ποσοστό της οικονομικής επιβράβευσης μπορεί να επιμερισθεί ανάλογα και σε περισσότερα πρόσωπα σύμφωνα με τις πιο πάνω ιδιότητες, σύμφωνα με όσα προβλέπονται στον κανονισμό εθνικών ομάδων της οικείας ομοσπονδίας.».</w:t>
      </w:r>
    </w:p>
    <w:p>
      <w:pPr>
        <w:jc w:val="both"/>
      </w:pPr>
      <w:r>
        <w:rPr>
          <w:sz w:val="22"/>
          <w:szCs w:val="22"/>
          <w:b w:val="1"/>
          <w:bCs w:val="1"/>
        </w:rPr>
        <w:t xml:space="preserve"> </w:t>
      </w:r>
    </w:p>
    <w:p>
      <w:pPr>
        <w:jc w:val="both"/>
      </w:pPr>
      <w:r>
        <w:rPr>
          <w:sz w:val="22"/>
          <w:szCs w:val="22"/>
          <w:b w:val="1"/>
          <w:bCs w:val="1"/>
        </w:rPr>
        <w:t xml:space="preserve">Άρθρο 134</w:t>
      </w:r>
    </w:p>
    <w:p>
      <w:pPr>
        <w:jc w:val="both"/>
      </w:pPr>
      <w:r>
        <w:rPr>
          <w:sz w:val="22"/>
          <w:szCs w:val="22"/>
          <w:b w:val="1"/>
          <w:bCs w:val="1"/>
        </w:rPr>
        <w:t xml:space="preserve">Μεταβατική ρύθμιση περί λήξης ισχύος πιστοποίησης ιατρών για τη θεώρηση κάρτας υγείας αθλητή – Προσθήκη άρθρου 13Α στον ν. 5176/2025</w:t>
      </w:r>
    </w:p>
    <w:p>
      <w:pPr>
        <w:jc w:val="both"/>
      </w:pPr>
      <w:r>
        <w:rPr>
          <w:sz w:val="22"/>
          <w:szCs w:val="22"/>
        </w:rPr>
        <w:t xml:space="preserve">Στον ν. 5176/2025 (Α΄ 17), προστίθεται άρθρο 13Α ως εξής:</w:t>
      </w:r>
    </w:p>
    <w:p>
      <w:pPr>
        <w:jc w:val="both"/>
      </w:pPr>
      <w:r>
        <w:rPr>
          <w:sz w:val="22"/>
          <w:szCs w:val="22"/>
        </w:rPr>
        <w:t xml:space="preserve">«Άρθρο 13Α</w:t>
      </w:r>
    </w:p>
    <w:p>
      <w:pPr>
        <w:jc w:val="both"/>
      </w:pPr>
      <w:r>
        <w:rPr>
          <w:sz w:val="22"/>
          <w:szCs w:val="22"/>
        </w:rPr>
        <w:t xml:space="preserve">Μεταβατική διάταξη</w:t>
      </w:r>
    </w:p>
    <w:p>
      <w:pPr>
        <w:jc w:val="both"/>
      </w:pPr>
      <w:r>
        <w:rPr>
          <w:sz w:val="22"/>
          <w:szCs w:val="22"/>
        </w:rPr>
        <w:t xml:space="preserve">Πιστοποίηση ιατρού για τη θεώρηση κάρτας υγείας αθλητή της παρ. 9 του άρθρου 33 του ν. 2725/1999 (Α΄ 121), όπως αυτή τροποποιήθηκε με την παρ. 2 του άρθρου 10 του παρόντος, η οποία έχει ήδη χορηγηθεί από το Εθνικό Κέντρο Αθλητικών Ερευνών (Ε.Κ.Α.Ε.), ισχύει επί πέντε (5) έτη από την 7η.2.2025.».</w:t>
      </w:r>
    </w:p>
    <w:p>
      <w:pPr>
        <w:jc w:val="both"/>
      </w:pPr>
      <w:r>
        <w:rPr>
          <w:sz w:val="22"/>
          <w:szCs w:val="22"/>
          <w:b w:val="1"/>
          <w:bCs w:val="1"/>
        </w:rPr>
        <w:t xml:space="preserve"> </w:t>
      </w:r>
    </w:p>
    <w:p>
      <w:pPr>
        <w:jc w:val="both"/>
      </w:pPr>
      <w:r>
        <w:rPr>
          <w:sz w:val="22"/>
          <w:szCs w:val="22"/>
          <w:b w:val="1"/>
          <w:bCs w:val="1"/>
        </w:rPr>
        <w:t xml:space="preserve">Άρθρο 135</w:t>
      </w:r>
    </w:p>
    <w:p>
      <w:pPr>
        <w:jc w:val="both"/>
      </w:pPr>
      <w:r>
        <w:rPr>
          <w:sz w:val="22"/>
          <w:szCs w:val="22"/>
          <w:b w:val="1"/>
          <w:bCs w:val="1"/>
        </w:rPr>
        <w:t xml:space="preserve">Μεταβίβαση κυριότητας εδαφικής έκτασης από τη Γενική Γραμματεία Αθλητισμού στον Δήμο Σίφνου – Τροποποίηση παρ. 2 άρθρου 68 ν. 4908/2022</w:t>
      </w:r>
    </w:p>
    <w:p>
      <w:pPr>
        <w:jc w:val="both"/>
      </w:pPr>
      <w:r>
        <w:rPr>
          <w:sz w:val="22"/>
          <w:szCs w:val="22"/>
          <w:b w:val="1"/>
          <w:bCs w:val="1"/>
        </w:rPr>
        <w:t xml:space="preserve"> </w:t>
      </w:r>
    </w:p>
    <w:p>
      <w:pPr>
        <w:jc w:val="both"/>
      </w:pPr>
      <w:r>
        <w:rPr>
          <w:sz w:val="22"/>
          <w:szCs w:val="22"/>
        </w:rPr>
        <w:t xml:space="preserve">Στην παρ. 2 του άρθρου 68 του ν. 4908/2022 (Α’ 52), περί χαρακτηρισμού του «Εθνικού Αθλητικού Κέντρου Νεότητος Σίφνου» ως δημοτικής σημασίας και μεταβίβασης κυριότητας των αθλητικών εγκαταστάσεων από τη Γενική Γραμματεία Αθλητισμού στον Δήμο Σίφνου, επέρχονται οι ακόλουθες τροποποιήσεις: α) στο πρώτο εδάφιο, οι λέξεις «συνολικής έκτασης 2.931 τ.μ., που έχουν καταχωρισθεί στο Κτηματολογικό Γραφείο Σίφνου με ΚΑΕΚ 290180123002/0/0» αντικαθίστανται από τις λέξεις «, ήτοι: α) έκταση επιφανείας δύο χιλιάδων εννιακοσίων τριάντα ενός τετραγωνικών μέτρων (2.931 τ.μ.), που έχει καταχωρισθεί στα τηρούμενα κτηματολογικά βιβλία του Κτηματολογικού Γραφείου Κυκλάδων και φέρει Κωδικό Αριθμό Εθνικού Κτηματολογίου (ΚΑΕΚ) 290180123002/0/0 και β) έκταση επιφανείας τετρακοσίων σαράντα τεσσάρων τετραγωνικών μέτρων (444 τ.μ.), που έχει καταχωρισθεί στα τηρούμενα κτηματολογικά βιβλία του Κτηματολογικού Γραφείου Κυκλάδων (Υποκατάστημα Μήλου) και φέρει ΚΑΕΚ 290180123008/0/0», β) στο τέταρτο εδάφιο οι λέξεις «κτηματολόγιο ή υποθηκοφυλακείο» αντικαθίστανται από τις λέξεις «Κτηματολογικό Γραφείο» και η παρ. 2 του άρθρου 68 διαμορφώνεται ως εξής:</w:t>
      </w:r>
    </w:p>
    <w:p>
      <w:pPr>
        <w:jc w:val="both"/>
      </w:pPr>
      <w:r>
        <w:rPr>
          <w:sz w:val="22"/>
          <w:szCs w:val="22"/>
        </w:rPr>
        <w:t xml:space="preserve">«2. Μεταβιβάζεται χωρίς αντάλλαγμα στον Δήμο Σίφνου η κυριότητα του συνόλου των εδαφικών εκτάσεων μετά των εντός αυτών κειμένων κτιριακών και λοιπών αθλητικών εγκαταστάσεων, καθώς και ο περιβάλλων χώρος του «Εθνικού Αθλητικού Κέντρου Νεότητος Σίφνου», στη θέση «ΜΑΡΟΥΣΑ», ήτοι:</w:t>
      </w:r>
    </w:p>
    <w:p>
      <w:pPr>
        <w:jc w:val="both"/>
      </w:pPr>
      <w:r>
        <w:rPr>
          <w:sz w:val="22"/>
          <w:szCs w:val="22"/>
        </w:rPr>
        <w:t xml:space="preserve">α) έκταση επιφανείας δύο χιλιάδων εννιακοσίων τριάντα ενός τετραγωνικών μέτρων (2.931 τ.μ.), που έχει καταχωρισθεί στα τηρούμενα κτηματολογικά βιβλία του Κτηματολογικού Γραφείου Κυκλάδων και φέρει Κωδικό Αριθμό Εθνικού Κτηματολογίου (ΚΑΕΚ) 290180123002/0/0, και</w:t>
      </w:r>
    </w:p>
    <w:p>
      <w:pPr>
        <w:jc w:val="both"/>
      </w:pPr>
      <w:r>
        <w:rPr>
          <w:sz w:val="22"/>
          <w:szCs w:val="22"/>
        </w:rPr>
        <w:t xml:space="preserve">β) έκταση επιφανείας τετρακοσίων σαράντα τεσσάρων τετραγωνικών μέτρων (444 τ.μ.), που έχει καταχωρισθεί στα τηρούμενα κτηματολογικά βιβλία του Κτηματολογικού Γραφείου Κυκλάδων (Υποκατάστημα Μήλου) και φέρει ΚΑΕΚ 290180123008/0/0. Το Ν.Π.Δ.Δ. με την επωνυμία «Εθνικόν Αθλητικόν Κέντρον Νεότητος Σίφνου» καταργείται ως αυτοτελές νομικό πρόσωπο. Η μεταβίβαση της κυριότητας τελεί υπό την προϋπόθεση της έκδοσης σχετικής απόφασης του οικείου Δημοτικού Συμβουλίου περί αποδοχής της μεταβίβασης κατά τους όρους του παρόντος. Το απόσπασμα της απόφασης του Δημοτικού Συμβουλίου, στο οποίο περιγράφονται το μεταβιβασθέν ακίνητο και το δικαίωμά του επ` αυτού, αποτελεί τον τίτλο για την καταχώριση της μεταβίβασης του ακινήτου στο αρμόδιο Κτηματολογικό Γραφείο.»</w:t>
      </w:r>
    </w:p>
    <w:p/>
    <w:p>
      <w:pPr/>
      <w:r>
        <w:rPr>
          <w:sz w:val="22"/>
          <w:szCs w:val="22"/>
          <w:b w:val="1"/>
          <w:bCs w:val="1"/>
        </w:rPr>
        <w:t xml:space="preserve">Σχόλια επί της ενότητας 6</w:t>
      </w:r>
    </w:p>
    <w:p>
      <w:pPr/>
      <w:r>
        <w:rPr>
          <w:b w:val="1"/>
          <w:bCs w:val="1"/>
        </w:rPr>
        <w:t xml:space="preserve">Κριτων Αυγεροπουλος – 8 Ιουλίου 2026, 11:15</w:t>
      </w:r>
    </w:p>
    <w:p>
      <w:pPr/>
      <w:r>
        <w:rPr/>
        <w:t xml:space="preserve">Χαιρετίζω ως Γ.Γ. της Ομοσπονδίας Ελλήνων Προπονητών Ομαδικών Αθλημάτων ΟΜ.Ε.Π.Ο.Α και Ταμίας του Συνδέσμου Ελλήνων Προπονητών Πετοσφαίρισης Σ.Ε.Π.ΠΕ τη νομοθετική πρωτοβουλία του Υπουργού Κου Βρούτση όπου με τις διαταξεις του άρθρου 133, κατοχυρωνεται πλήρως πλεον το επάγγελμα του προπονητη Ομαδικών αθληματων. Μια ρηξικελευθη απόφαση που δίνει τέλος σε ενα χρόνιο πρόβλημα αυτο της αναγνώρισης του Δελτίου Ταυτότητας Προπονητή ως το μοναδικό νομιμοποιητικο έγγραφο δηλωσης προσωπου προπονητη και απαραιτητο εγγραφο έναρξης αγωνων Ομαδικών αθληματων. Μπράβο Υπουργέ!</w:t>
      </w:r>
    </w:p>
    <w:p/>
    <w:p>
      <w:pPr/>
      <w:r>
        <w:rPr>
          <w:b w:val="1"/>
          <w:bCs w:val="1"/>
        </w:rPr>
        <w:t xml:space="preserve">ΣΥΝΔΕΣΜΟΣ ΕΛΛΗΝΩΝ ΠΡΟΠΟΝΗΤΩΝ ΠΕΤΟΣΦΑΙΡΙΣΗΣ – 8 Ιουλίου 2026, 11:35</w:t>
      </w:r>
    </w:p>
    <w:p>
      <w:pPr/>
      <w:r>
        <w:rPr/>
        <w:t xml:space="preserve">Το Διοικητικό Συμβούλιο του ΣΕΠΠΕ χαιρετίζει με ιδιαίτερη ικανοποίηση τη νομοθετική πρωτοβουλία του Αναπληρωτή Υπουργού Αθλητισμού, κ. Βρούτση, η οποία θέτει ένα σαφές και σύγχρονο θεσμικό πλαίσιο για το επάγγελμα του προπονητή στα ομαδικά αθλήματα, κατοχυρώνοντας τον ρόλο και τα επαγγελματικά του δικαιώματα.</w:t>
      </w:r>
    </w:p>
    <w:p/>
    <w:p>
      <w:pPr/>
      <w:r>
        <w:rPr/>
        <w:t xml:space="preserve">Παράλληλα, εκφράζουμε την προσδοκία ότι η εν λόγω πρωτοβουλία θα αποτελέσει την αφετηρία για την επέκταση αντίστοιχων ρυθμίσεων και στις υπόλοιπες αθλητικές ομοσπονδίες και επαγγελματικές ενώσεις προπονητών, με στόχο την πλήρη και οριστική αποσαφήνιση των επαγγελματικών δικαιωμάτων των προπονητών σε ολόκληρο το φάσμα του ελληνικού αθλητισμού.</w:t>
      </w:r>
    </w:p>
    <w:p/>
    <w:p/>
    <w:p>
      <w:pPr/>
      <w:r>
        <w:rPr/>
        <w:t xml:space="preserve">Επιπρόσθετα θα πρέπει να διορθωθεί στο παρακάτω εδάφιο η λέξη ΑΘΛΗΤΗ και να αντικατασταθεί από την λέξη ΠΡΟΠΟΝΗΤΗ:</w:t>
      </w:r>
    </w:p>
    <w:p/>
    <w:p>
      <w:pPr/>
      <w:r>
        <w:rPr/>
        <w:t xml:space="preserve">… εκτός των προβλεπόμενων στις επιμέρους διατάξεις του παρόντος νόμου συνεπειών, επισύρει επιπλέον για τον αθλητή, το σωματείο, το Τμήμα Αμειβόμενων Αθλητών (Τ.Α.Α.) ή την Αθλητική Ανώνυμη Εταιρεία (Α.Α.Ε.), κατά περίπτωση, τις κυρώσεις που προβλέπονται από τους οικείους κανονισμούς για την αντικανονική συμμετοχή αθλητή σε αγώνα.</w:t>
      </w:r>
    </w:p>
    <w:p/>
    <w:p>
      <w:pPr/>
      <w:r>
        <w:rPr>
          <w:b w:val="1"/>
          <w:bCs w:val="1"/>
        </w:rPr>
        <w:t xml:space="preserve">Επαμεινώνδας - Ιωάννης Λύσσαρης – 8 Ιουλίου 2026, 21:50</w:t>
      </w:r>
    </w:p>
    <w:p>
      <w:pPr/>
      <w:r>
        <w:rPr/>
        <w:t xml:space="preserve">Ως απόφοιτος προγράμματος Νοσηλευτικής βρετανικού πανεπιστημίου, το οποίο πραγματοποιήθηκε μέσω αδειοδοτημένου φορέα στην Ελλάδα, θα ήθελα να επισημάνω ένα σημαντικό ζήτημα εφαρμογής της προτεινόμενης διάταξης. Παρακαλείται το Υπουργείο να εξετάσει τη ρητή πρόβλεψη ώστε η αναγνώριση από το Α.Τ.Ε.Ε.Ν. των τίτλων που εμπίπτουν στο άρθρο 131 να διασφαλίζει και την πρόσβαση στις διαδικασίες πρόσληψης του Δημοσίου, ιδίως στις προκηρύξεις του ΑΣΕΠ για επαγγέλματα υγείας. Στις υφιστάμενες προκηρύξεις για θέσεις ΠΕ Νοσηλευτών αναφέρεται η απαίτηση “ακαδημαϊκά ισοδύναμου ή ισότιμου τίτλου αλλοδαπής”, με αποτέλεσμα να υπάρχει κίνδυνος οι συγκεκριμένοι επαγγελματίες να αποκτήσουν δικαίωμα άσκησης επαγγέλματος, αλλά να αποκλείονται από θέσεις του ΕΣΥ και του Δημοσίου. Η ρύθμιση θα πρέπει να εξασφαλίζει ίση πρόσβαση στην επαγγελματική σταδιοδρομία.</w:t>
      </w:r>
    </w:p>
    <w:p/>
    <w:p>
      <w:pPr/>
      <w:r>
        <w:rPr>
          <w:b w:val="1"/>
          <w:bCs w:val="1"/>
        </w:rPr>
        <w:t xml:space="preserve">Επαμεινώνδας - Ιωάννης Λύσσαρης – 8 Ιουλίου 2026, 21:55</w:t>
      </w:r>
    </w:p>
    <w:p>
      <w:pPr/>
      <w:r>
        <w:rPr/>
        <w:t xml:space="preserve">Σε συνέχεια της ανάγκης για ολοκληρωμένη ρύθμιση του ζητήματος των αποφοίτων προγραμμάτων σπουδών βρετανικών πανεπιστημίων μέσω αδειοδοτημένων φορέων στην Ελλάδα, θα ήθελα να επισημάνω και το ζήτημα της ακαδημαϊκής και επαγγελματικής εξέλιξης των συγκεκριμένων επαγγελματιών.</w:t>
      </w:r>
    </w:p>
    <w:p/>
    <w:p/>
    <w:p>
      <w:pPr/>
      <w:r>
        <w:rPr/>
        <w:t xml:space="preserve">Είναι σημαντικό να εξεταστεί η ακαδημαϊκή συνέχεια των κατόχων των συγκεκριμένων τίτλων σπουδών, ώστε η προτεινόμενη ρύθμιση να μην οδηγήσει στη δημιουργία μιας κατηγορίας επαγγελματιών υγείας με περιορισμένες δυνατότητες επιστημονικής και επαγγελματικής εξέλιξης.</w:t>
      </w:r>
    </w:p>
    <w:p/>
    <w:p/>
    <w:p>
      <w:pPr/>
      <w:r>
        <w:rPr/>
        <w:t xml:space="preserve">Οι νοσηλευτές και οι λοιποί επαγγελματίες υγείας των οποίων οι τίτλοι θα αναγνωρίζονται επαγγελματικά μέσω του Α.Τ.Ε.Ε.Ν. θα πρέπει να διαθέτουν ένα σαφές και λειτουργικό πλαίσιο, το οποίο να διασφαλίζει την πρόσβασή τους στις δυνατότητες συνεχιζόμενης εκπαίδευσης, μεταπτυχιακών σπουδών και περαιτέρω ακαδημαϊκής εξέλιξης, σύμφωνα με τις προϋποθέσεις που ορίζει η ισχύουσα νομοθεσία.</w:t>
      </w:r>
    </w:p>
    <w:p/>
    <w:p/>
    <w:p>
      <w:pPr/>
      <w:r>
        <w:rPr/>
        <w:t xml:space="preserve">Η πλήρης επίτευξη του σκοπού της ρύθμισης προϋποθέτει όχι μόνο τη δυνατότητα άσκησης του επαγγέλματος, αλλά και τη διασφάλιση ίσων ευκαιριών επαγγελματικής και επιστημονικής ανέλιξης για τους συγκεκριμένους επαγγελματίες υγείας.</w:t>
      </w:r>
    </w:p>
    <w:p/>
    <w:p>
      <w:pPr/>
      <w:r>
        <w:rPr>
          <w:b w:val="1"/>
          <w:bCs w:val="1"/>
        </w:rPr>
        <w:t xml:space="preserve">Γιώργος Κούρτης – 9 Ιουλίου 2026, 17:20</w:t>
      </w:r>
    </w:p>
    <w:p>
      <w:pPr/>
      <w:r>
        <w:rPr/>
        <w:t xml:space="preserve">Μα είναι δυνατόν να γίνεται παράταση ισχύος (και σωστά γίνεται) για τους πίνακες ΔΔΕ και ΔΠΕ που -σε τελική ανάλυση- είναι μετρημένοι στα δάχτυλα αυτοί που φεύγουν λόγω συνταξιοδότησης, ενώ δεν κάνετε παράταση στους πίνακες Διευθυντών Σχολείων που -ΚΥΡΙΟΛΕΚΤΙΚΑ- είναι εκατοντάδες οι περιπτώσεις και θα γίνει μπάχαλο στα σχολεία τον Σεπτέμβριο?? Εκτός, φυσικά, και αν αυτός ακριβώς είναι ο στόχος: να γίνει μπάχαλο προεκλογικά. Η μη παράταση ισχύος των πινάκων Διεθυντών Σχολείων είναι παντελώς παράλογη, άστοχη ή λήφθηκε από άτομα που δεν έχουν γνώση και πραγματική εικόνα των σχολείων.</w:t>
      </w:r>
    </w:p>
    <w:p/>
    <w:p>
      <w:pPr/>
      <w:r>
        <w:rPr>
          <w:b w:val="1"/>
          <w:bCs w:val="1"/>
        </w:rPr>
        <w:t xml:space="preserve">VII – 9 Ιουλίου 2026, 19:53</w:t>
      </w:r>
    </w:p>
    <w:p>
      <w:pPr/>
      <w:r>
        <w:rPr/>
        <w:t xml:space="preserve">- Κατάργηση του 4823/2021</w:t>
      </w:r>
    </w:p>
    <w:p/>
    <w:p>
      <w:pPr/>
      <w:r>
        <w:rPr/>
        <w:t xml:space="preserve">- Διετείς θητείες με μια σειρά κριτηρίων (τυπικών), ψυχομετρικών και διοικητικών (με πολλαπλές σε σύντομο διάστημα χρονικό σε εργαστήριο Η/Υ και χειρόγραφο για τα νοημοσύνης), κόφτης θητειών , επιστροφή στην τάξη και όχι συνεχόμενη τρίτη θητεία σε θέση ευθύνης και εκ νέου αίτηση. Συνοπτικές , καίριες και σύντομες διαδικασίες , όχι αυτό το χάλι με παρελκυστικές πολιτικάντικα διαδικασίες.</w:t>
      </w:r>
    </w:p>
    <w:p/>
    <w:p/>
    <w:p>
      <w:pPr/>
      <w:r>
        <w:rPr/>
        <w:t xml:space="preserve">- Συγχρονισμός όλων των θητειών (το τωρινό μπάχαλο έχει ξεφύγει με άλλο χρονισμό στις ίδιες θητείες, βλ σδε, σανεκ κλπ)</w:t>
      </w:r>
    </w:p>
    <w:p/>
    <w:p>
      <w:pPr/>
      <w:r>
        <w:rPr/>
        <w:t xml:space="preserve">- Επιλογή τώρα σε μεταβατικούς σε όσους θέλουν να περάσουν δοκιμασίες (ψυχομετρικές, διοικητικής γνώσης, νοημοσύνης) με κάποια κριτήρια πχ διευθυντές ήδη σχολείων  (εμπειρία)  ή με κάποια τυπικά προσόντα (ας βρεθεί τρόπος να σταθμιστούν κάπως αντικειμενικά όλα αυτά)</w:t>
      </w:r>
    </w:p>
    <w:p/>
    <w:p/>
    <w:p>
      <w:pPr/>
      <w:r>
        <w:rPr/>
        <w:t xml:space="preserve">- υποβολή έκθεσης  για τις στρεβλώσεις που εντοπίζουν στη δομή που επιθυμούν να αναλάβουν θέση ευθύνης = κριτήριο αντί για συνέντευξη </w:t>
      </w:r>
    </w:p>
    <w:p/>
    <w:p>
      <w:pPr/>
      <w:r>
        <w:rPr/>
        <w:t xml:space="preserve">- κωδικοποίηση νομοθεσίας (αφού δεν ξέρετε τι εννοείται, ορίστε ΔΩΡΕΑΝ και οργανωμένα στη Γαλλία, αν  και μπορούμε και καλύτερα : βλ. https://www.legifrance.gouv.fr/codes/texte_lc/LEGITEXT000006071191/?__cf_chl_f_tk=WYkUIEQSB7IgeaZq5bCViAfss8K6UNzfud1t2tWe7.E-1783614203-1.0.1.1-EXDy5E7F1GLNUtGkwWmNqjjYY1e2iuEU1dvZnPNcVfI )</w:t>
      </w:r>
    </w:p>
    <w:p/>
    <w:p/>
    <w:p>
      <w:pPr/>
      <w:r>
        <w:rPr/>
        <w:t xml:space="preserve">- οργάνωση διαδικασιών για όλα τα ζητήματα της εκπαίδευσης (όλα προβληματικά ακόμα και σε ΥΑ με χαοτική και παράλογη για περιπτώσεις πρόβλεψη ή διατυπώσεις- και φυσικά  για να ψάχνονται όχι προβλεπόμενες διευθετήσεις για πολλές άλλες περιπτώσεις ξεκάθαρα για όλους !Και ο καθένας ό,τι θέλει κάνει ή ψάχνεται ! Χάος. Πχ . σκεφτείτε τι δεν προβλέπεται απλά και σαφώς για εγγραφές , μετεγγραφές που τρέχουν συν την πλατφόρμα και τα έγχαρτα μετά , ούτε καν λίστα για κάθε περίπτωση  ! Γιατί όχι; Τι θα πει "να διαβάζουν"να οργανωθούν, ναι, έτοιμα να τα δώσουν, οι υπηρεσίες τι κάνουν ; Ποιος νοικοκυρεύει τη διοίκηση ; Οι κάτω απλώς να εφαρμόζουν και βασικά να μην χρειάζονται αλλά όλα να είναι σαφώς αναρτημένα και φιλικά για τον  χρήστη-πολίτη . Είναι ; ΟΧΙ  )</w:t>
      </w:r>
    </w:p>
    <w:p/>
    <w:p/>
    <w:p>
      <w:pPr/>
      <w:r>
        <w:rPr/>
        <w:t xml:space="preserve">- κατάργηση προϊσταμένων , κατάργηση πδε, χωροταξική αναδιάρθρωση ΔΠΕ-ΔΔΕ και θέση ευθύνης για κάθε θέμα σε υπαλλήλους, έλεγχος κεντρικά στοιχείων και καταχωρίσεων με ΠΣ (όχι τα άχρηστα και χρυσοπληρωμένα), εμπιστοσύνη στους διευθυντές σχολείων και υπαλλήλους</w:t>
      </w:r>
    </w:p>
    <w:p/>
    <w:p/>
    <w:p>
      <w:pPr/>
      <w:r>
        <w:rPr/>
        <w:t xml:space="preserve">- πρόσβαση υπαλλήλων  και εκπαιδευτικών σε υπηρεσία εσωτερικών υποθέσεων για βροχή προβλημάτων </w:t>
      </w:r>
    </w:p>
    <w:p/>
    <w:p/>
    <w:p>
      <w:pPr/>
      <w:r>
        <w:rPr/>
        <w:t xml:space="preserve">-διαφάνεια για όλους (στις ενημερώσεις , αναρτήσεις εγκυκλίων , εσωτερικά κυκλοφορούντων εγγράφων πλην εμπιστευτικών μέσω opsyd ή άλλου / Καλά , εκεί ας ανεβάζουν ανακοινώσεις επίσημα πότε αρχίζουν και λήγουν οι προθεσμίες πχ για ανακλήσεις κλπ ! Μπάχαλο παντού και ανοργανωσιά)</w:t>
      </w:r>
    </w:p>
    <w:p/>
    <w:p/>
    <w:p>
      <w:pPr/>
      <w:r>
        <w:rPr/>
        <w:t xml:space="preserve">- Αλλαγή στις αποσπάσεις ΧΤΕΣ , κατάργηση τριετίας (ψηφοθηρικής και εκμαυλιστικής), απαγόρευση να ορίζονται απλοί αποσπασμένοι (χωρίς έρεισμα  καν) προϊστάμενοι, Εναλλαγή προσώπων και όχι ΑΝΑΚΥΚΛΩΣΗ ή ισοβιότητα  : σε αποσπάσεις, θέσεις ευθύνης , ΠΟΥΘΕΝΑ ! Όχι πάνω από δύο διετίες ,μετά από ένα διάλειμμα ξανά υποψήφιοι, αλλά όχι υπερμοριοδότηση προϋπηρεσίας. Με θεσμικό πλαίσιο για κάθε θέση δεν θα χρειάζεται καν.</w:t>
      </w:r>
    </w:p>
    <w:p/>
    <w:p/>
    <w:p>
      <w:pPr/>
      <w:r>
        <w:rPr/>
        <w:t xml:space="preserve">- αξιολόγηση ΚΥ , 0 σε όλα ! Αλλά να έχουν και πεδία να μάθουν τι πρόβλημα έχουν οι υπηρεσίες του χρόνια που δεν οργανώνονται και ταλαιπωρούν τους πάντες , οι ανίκανοι! Για μια λογική διόρθωση / αλλαγή απαιτούνται πολλά χρόνια, γιατί;</w:t>
      </w:r>
    </w:p>
    <w:p/>
    <w:p/>
    <w:p>
      <w:pPr/>
      <w:r>
        <w:rPr/>
        <w:t xml:space="preserve">- Καλή ψήφο ! Αρχές 10ου λέει ο Νίκος ;</w:t>
      </w:r>
    </w:p>
    <w:p/>
    <w:p>
      <w:pPr/>
      <w:r>
        <w:rPr>
          <w:b w:val="1"/>
          <w:bCs w:val="1"/>
        </w:rPr>
        <w:t xml:space="preserve">Δήμητρα Κοσμίδη – 9 Ιουλίου 2026, 21:32</w:t>
      </w:r>
    </w:p>
    <w:p>
      <w:pPr/>
      <w:r>
        <w:rPr/>
        <w:t xml:space="preserve">Είναι αποτέλεσμα διοικητικής ισονομίας , αξιοκρατίας, εμπιστοσύνης στη Δημόσια Διοίκηση το γεγονός ότι δίνεται παράταση θητείας στους νυν ΔΠΕ και ΔΔΕ χωρίς την αντίστοιχη παράταση ισχύος των πινάκων από τους οποίους έχουν επιλεγεί τα στελέχη αυτά; Εκμηδενίζονται δηλαδή και απορρίπτονται πρόωρα επιλαχόντες που έχουν προσπαθήσει, κριθεί και αξιολογηθεί για τις θέσεις αυτές και θα αναλάβουν αναπληρωτές;Παράταση ισχύος θα έπρεπε επίσης να υπάρξει για τους πίνακες των Διευθυντών σχολικών μονάδων για τους ίδιους ακριβώς λόγους καθώς και αυτοί εκπίπτουν 31 Ιουλίου 2026.</w:t>
      </w:r>
    </w:p>
    <w:p/>
    <w:p>
      <w:pPr/>
      <w:r>
        <w:rPr>
          <w:b w:val="1"/>
          <w:bCs w:val="1"/>
        </w:rPr>
        <w:t xml:space="preserve">Κωνσταντίνος Ψαρράς – 11 Ιουλίου 2026, 11:06</w:t>
      </w:r>
    </w:p>
    <w:p>
      <w:pPr/>
      <w:r>
        <w:rPr/>
        <w:t xml:space="preserve">Στην ρύθμιση που αφορά την άσκηση επαγγελματικής δραστηριότητας κατόχων τίτλων σπουδών ιδρυμάτων πανεπιστημιακής εκπαίδευσης του Ηνωμένου Βασιλείου μέσω αδειοδοτημένων φορέων στην Ελλάδα, είναι απαραίτητη και μια ρύθμιση ώστε να έχουν δικαίωμα συμμετοχής στις διαδικασίες για πρόσληψη στο δημόσιο μέσω διαγωνισμών του ΑΣΕΠ ως ΠΕ, ώστε να μην κατευθύνονται όλοι οι πτυχιούχοι στον ιδιωτικό τομέα. </w:t>
      </w:r>
    </w:p>
    <w:p/>
    <w:p>
      <w:pPr/>
      <w:r>
        <w:rPr/>
        <w:t xml:space="preserve">Επίσης πρέπει να ληφθεί υπόψη η δυνατότητα συνέχισης των ακαδημαϊκών σπουδών σε δημόσια ιδρύματα του εσωτερικού, ενέργεια η οποία θα ωφελούσε τόσο τους αποφοίτους όσο και τα ιδρύματα.</w:t>
      </w:r>
    </w:p>
    <w:p/>
    <w:p/>
    <w:p/>
    <w:bookmarkStart w:id="6" w:name="og_article_7"/>
    <w:bookmarkEnd w:id="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7 – ΜΕΡΟΣ Ζ’ ΕΝΑΡΞΗ ΙΣΧΥΟΣ   Άρθρο 136 Έναρξη ισχύος</w:t>
      </w:r>
    </w:p>
    <w:p>
      <w:pPr>
        <w:numPr>
          <w:ilvl w:val="0"/>
          <w:numId w:val="107"/>
        </w:numPr>
      </w:pPr>
      <w:r>
        <w:rPr>
          <w:sz w:val="22"/>
          <w:szCs w:val="22"/>
        </w:rPr>
        <w:t xml:space="preserve">Η ισχύς του παρόντος αρχίζει από τη δημοσίευσή του στην Εφημερίδα της Κυβερνήσεως, με την επιφύλαξη των παρ. 2 και 3.</w:t>
      </w:r>
    </w:p>
    <w:p>
      <w:pPr>
        <w:numPr>
          <w:ilvl w:val="0"/>
          <w:numId w:val="107"/>
        </w:numPr>
      </w:pPr>
      <w:r>
        <w:rPr>
          <w:sz w:val="22"/>
          <w:szCs w:val="22"/>
        </w:rPr>
        <w:t xml:space="preserve">Η ισχύς των άρθρων 6 και 7, της παρ. 3 του άρθρου 11 και της παρ. 2 του άρθρου 13 του Μέρους Α’ αρχίζει από την έκδοση της διαπιστωτικής πράξης της παρ. 1 του άρθρου 26.</w:t>
      </w:r>
    </w:p>
    <w:p>
      <w:pPr>
        <w:numPr>
          <w:ilvl w:val="0"/>
          <w:numId w:val="107"/>
        </w:numPr>
      </w:pPr>
      <w:r>
        <w:rPr>
          <w:sz w:val="22"/>
          <w:szCs w:val="22"/>
        </w:rPr>
        <w:t xml:space="preserve">Η ισχύς του Μέρους Β’ αρχίζει από την έκδοση της διαπιστωτικής πράξης της παρ. 1 του άρθρου 26.</w:t>
      </w:r>
    </w:p>
    <w:p/>
    <w:p>
      <w:pPr/>
      <w:r>
        <w:rPr>
          <w:sz w:val="22"/>
          <w:szCs w:val="22"/>
          <w:b w:val="1"/>
          <w:bCs w:val="1"/>
        </w:rPr>
        <w:t xml:space="preserve">Σχόλια επί της ενότητας 7</w:t>
      </w:r>
    </w:p>
    <w:p>
      <w:pPr/>
      <w:r>
        <w:rPr>
          <w:i w:val="1"/>
          <w:iCs w:val="1"/>
        </w:rPr>
        <w:t xml:space="preserve">Δεν έχουν υποβληθεί δημοσιευμένα σχόλια επί της ενότητας.</w:t>
      </w:r>
    </w:p>
    <w:p/>
    <w:p/>
    <w:sectPr>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F5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CB1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BF500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227BC3"/>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4839C"/>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27E68E"/>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27E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CB3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35A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2D7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D2613E"/>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668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11E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18EA75"/>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6D1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6F6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313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27909E"/>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D27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2C1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74DB2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C0F15C3"/>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C5F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19139A"/>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C95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0E1C765"/>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D793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015B368"/>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47FB025"/>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36F93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C505B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46982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6683692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86772D59"/>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05FFB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5A083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945CF0D2"/>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BCCFC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19D74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0">
    <w:nsid w:val="D6CF1E8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1">
    <w:nsid w:val="40BA7C79"/>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519E8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16790610"/>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7550F72C"/>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74540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6">
    <w:nsid w:val="DEEB5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BC94C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1559553F"/>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A227D940"/>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230CBDAA"/>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FE820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B0CAA099"/>
    <w:multiLevelType w:val="multilevel"/>
    <w:lvl w:ilvl="0">
      <w:start w:val="1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B97C9985"/>
    <w:multiLevelType w:val="multilevel"/>
    <w:lvl w:ilvl="0">
      <w:start w:val="18"/>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BAC76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5">
    <w:nsid w:val="2E80A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E73B673C"/>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7">
    <w:nsid w:val="3E229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8">
    <w:nsid w:val="FFA6B3C4"/>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9">
    <w:nsid w:val="C7CE9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0">
    <w:nsid w:val="92164E17"/>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1">
    <w:nsid w:val="1B3E2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2">
    <w:nsid w:val="9C7B2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3">
    <w:nsid w:val="7B4BCC55"/>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4">
    <w:nsid w:val="28FEE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5">
    <w:nsid w:val="64E2D480"/>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6">
    <w:nsid w:val="26073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7">
    <w:nsid w:val="6A772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8">
    <w:nsid w:val="FF533E1E"/>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9">
    <w:nsid w:val="41A46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0">
    <w:nsid w:val="108E3F43"/>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1">
    <w:nsid w:val="7B40E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2">
    <w:nsid w:val="F23DF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3">
    <w:nsid w:val="3ABD4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4">
    <w:nsid w:val="E3BEDC59"/>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5">
    <w:nsid w:val="4BF4F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6">
    <w:nsid w:val="C9FD3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7">
    <w:nsid w:val="74913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8">
    <w:nsid w:val="359E2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9">
    <w:nsid w:val="A0097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0">
    <w:nsid w:val="F9809074"/>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1">
    <w:nsid w:val="70871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2">
    <w:nsid w:val="649A9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3">
    <w:nsid w:val="8A623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4">
    <w:nsid w:val="A6F8483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5">
    <w:nsid w:val="2D227843"/>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6">
    <w:nsid w:val="849FED55"/>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7">
    <w:nsid w:val="931E3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8">
    <w:nsid w:val="E843CAC7"/>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9">
    <w:nsid w:val="F626CDA4"/>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0">
    <w:nsid w:val="F84314EE"/>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1">
    <w:nsid w:val="D6E5E750"/>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2">
    <w:nsid w:val="47B98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3">
    <w:nsid w:val="E112A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4">
    <w:nsid w:val="C467E78D"/>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5">
    <w:nsid w:val="2C46E319"/>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6">
    <w:nsid w:val="C7810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7">
    <w:nsid w:val="0F65D6E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8">
    <w:nsid w:val="0A7BD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9">
    <w:nsid w:val="5C530C4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0">
    <w:nsid w:val="E6C0E6A6"/>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1">
    <w:nsid w:val="AAC0D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2">
    <w:nsid w:val="084FC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3">
    <w:nsid w:val="D326DE78"/>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4">
    <w:nsid w:val="F66C1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5">
    <w:nsid w:val="DB14D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6">
    <w:nsid w:val="B11F21E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7">
    <w:nsid w:val="EDAB5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4" Type="http://schemas.openxmlformats.org/officeDocument/2006/relationships/hyperlink" Target="https://www.e-nomothesia.gr/tags.html?tag=4623/2019" TargetMode="External"/><Relationship Id="rId15" Type="http://schemas.openxmlformats.org/officeDocument/2006/relationships/hyperlink" Target="https://www.e-nomothesia.gr/tags.html?tag=4727/2020" TargetMode="Externa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2026-08-26T10:05:02+00:00</dcterms:created>
  <dcterms:modified xsi:type="dcterms:W3CDTF">2026-08-26T10:05:02+00:00</dcterms:modified>
</cp:coreProperties>
</file>

<file path=docProps/custom.xml><?xml version="1.0" encoding="utf-8"?>
<Properties xmlns="http://schemas.openxmlformats.org/officeDocument/2006/custom-properties" xmlns:vt="http://schemas.openxmlformats.org/officeDocument/2006/docPropsVTypes"/>
</file>