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color w:val="B60202"/>
          <w:sz w:val="32"/>
          <w:szCs w:val="32"/>
          <w:b w:val="1"/>
          <w:bCs w:val="1"/>
        </w:rPr>
        <w:t xml:space="preserve">ΠΡΟΣΩΡΙΝΗ ΕΞΑΓΩΓΗ</w:t>
      </w:r>
    </w:p>
    <w:p>
      <w:pPr>
        <w:jc w:val="center"/>
      </w:pPr>
      <w:r>
        <w:rPr>
          <w:color w:val="B60202"/>
          <w:i w:val="1"/>
          <w:iCs w:val="1"/>
        </w:rPr>
        <w:t xml:space="preserve">Η δημόσια διαβούλευση βρίσκεται σε εξέλιξη και ενδέχεται να προστεθούν νέα σχόλια.</w:t>
      </w:r>
    </w:p>
    <w:p/>
    <w:p>
      <w:pPr>
        <w:jc w:val="both"/>
      </w:pPr>
      <w:r>
        <w:rPr>
          <w:sz w:val="32"/>
          <w:szCs w:val="32"/>
          <w:b w:val="1"/>
          <w:bCs w:val="1"/>
        </w:rPr>
        <w:t xml:space="preserve">Ενίσχυση λειτουργίας Οργανισμών Λιμένων και λοιπές διατάξεις</w:t>
      </w:r>
    </w:p>
    <w:p/>
    <w:tbl>
      <w:tblGrid>
        <w:gridCol w:w="3500" w:type="dxa"/>
        <w:gridCol w:w="5500" w:type="dxa"/>
      </w:tblGrid>
      <w:tblPr>
        <w:tblW w:w="0" w:type="auto"/>
        <w:tblLayout w:type="autofit"/>
        <w:tblCellMar>
          <w:top w:w="80" w:type="dxa"/>
          <w:left w:w="80" w:type="dxa"/>
          <w:right w:w="80" w:type="dxa"/>
          <w:bottom w:w="80"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c>
          <w:tcPr>
            <w:tcW w:w="3500" w:type="dxa"/>
            <w:noWrap/>
          </w:tcPr>
          <w:p>
            <w:pPr/>
            <w:r>
              <w:rPr>
                <w:b w:val="1"/>
                <w:bCs w:val="1"/>
              </w:rPr>
              <w:t xml:space="preserve">Φορέας</w:t>
            </w:r>
          </w:p>
        </w:tc>
        <w:tc>
          <w:tcPr>
            <w:tcW w:w="5500" w:type="dxa"/>
            <w:noWrap/>
          </w:tcPr>
          <w:p>
            <w:pPr/>
            <w:r>
              <w:rPr/>
              <w:t xml:space="preserve">ΥΠΟΥΡΓΕΙΟ ΝΑΥΤΙΛΙΑΣ ΚΑΙ ΝΗΣΙΩΤΙΚΗΣ ΠΟΛΙΤΙΚΗΣ</w:t>
            </w:r>
          </w:p>
        </w:tc>
      </w:tr>
      <w:tr>
        <w:trPr/>
        <w:tc>
          <w:tcPr>
            <w:tcW w:w="3500" w:type="dxa"/>
            <w:noWrap/>
          </w:tcPr>
          <w:p>
            <w:pPr/>
            <w:r>
              <w:rPr>
                <w:b w:val="1"/>
                <w:bCs w:val="1"/>
              </w:rPr>
              <w:t xml:space="preserve">Σύνδεσμος ανάρτησης διαβούλευσης</w:t>
            </w:r>
          </w:p>
        </w:tc>
        <w:tc>
          <w:tcPr>
            <w:tcW w:w="5500" w:type="dxa"/>
            <w:noWrap/>
          </w:tcPr>
          <w:p>
            <w:hyperlink r:id="rId7" w:history="1">
              <w:r>
                <w:rPr>
                  <w:color w:val="0563C1"/>
                  <w:u w:val="single"/>
                </w:rPr>
                <w:t xml:space="preserve">https://opengov.gr/ynanp/deliberations/enischysi-leitoyrgias-organismon-limenon-kai-loipes-diataxeis/</w:t>
              </w:r>
            </w:hyperlink>
          </w:p>
        </w:tc>
      </w:tr>
      <w:tr>
        <w:trPr/>
        <w:tc>
          <w:tcPr>
            <w:tcW w:w="3500" w:type="dxa"/>
            <w:noWrap/>
          </w:tcPr>
          <w:p>
            <w:pPr/>
            <w:r>
              <w:rPr>
                <w:b w:val="1"/>
                <w:bCs w:val="1"/>
              </w:rPr>
              <w:t xml:space="preserve">Ημερομηνία έναρξης</w:t>
            </w:r>
          </w:p>
        </w:tc>
        <w:tc>
          <w:tcPr>
            <w:tcW w:w="5500" w:type="dxa"/>
            <w:noWrap/>
          </w:tcPr>
          <w:p>
            <w:pPr/>
            <w:r>
              <w:rPr/>
              <w:t xml:space="preserve">11 Σεπτεμβρίου 2026, 22:26</w:t>
            </w:r>
          </w:p>
        </w:tc>
      </w:tr>
      <w:tr>
        <w:trPr/>
        <w:tc>
          <w:tcPr>
            <w:tcW w:w="3500" w:type="dxa"/>
            <w:noWrap/>
          </w:tcPr>
          <w:p>
            <w:pPr/>
            <w:r>
              <w:rPr>
                <w:b w:val="1"/>
                <w:bCs w:val="1"/>
              </w:rPr>
              <w:t xml:space="preserve">Ημερομηνία λήξης</w:t>
            </w:r>
          </w:p>
        </w:tc>
        <w:tc>
          <w:tcPr>
            <w:tcW w:w="5500" w:type="dxa"/>
            <w:noWrap/>
          </w:tcPr>
          <w:p>
            <w:pPr/>
            <w:r>
              <w:rPr/>
              <w:t xml:space="preserve">28 Σεπτεμβρίου 2026, 10:00</w:t>
            </w:r>
          </w:p>
        </w:tc>
      </w:tr>
      <w:tr>
        <w:trPr/>
        <w:tc>
          <w:tcPr>
            <w:tcW w:w="3500" w:type="dxa"/>
            <w:noWrap/>
          </w:tcPr>
          <w:p>
            <w:pPr/>
            <w:r>
              <w:rPr>
                <w:b w:val="1"/>
                <w:bCs w:val="1"/>
              </w:rPr>
              <w:t xml:space="preserve">Κατάσταση διαβούλευσης</w:t>
            </w:r>
          </w:p>
        </w:tc>
        <w:tc>
          <w:tcPr>
            <w:tcW w:w="5500" w:type="dxa"/>
            <w:noWrap/>
          </w:tcPr>
          <w:p>
            <w:pPr/>
            <w:r>
              <w:rPr/>
              <w:t xml:space="preserve">Ανοικτή</w:t>
            </w:r>
          </w:p>
        </w:tc>
      </w:tr>
      <w:tr>
        <w:trPr/>
        <w:tc>
          <w:tcPr>
            <w:tcW w:w="3500" w:type="dxa"/>
            <w:noWrap/>
          </w:tcPr>
          <w:p>
            <w:pPr/>
            <w:r>
              <w:rPr>
                <w:b w:val="1"/>
                <w:bCs w:val="1"/>
              </w:rPr>
              <w:t xml:space="preserve">Συνολικός αριθμός δημοσιευμένων σχολίων κατά τον χρόνο εξαγωγής</w:t>
            </w:r>
          </w:p>
        </w:tc>
        <w:tc>
          <w:tcPr>
            <w:tcW w:w="5500" w:type="dxa"/>
            <w:noWrap/>
          </w:tcPr>
          <w:p>
            <w:pPr/>
            <w:r>
              <w:rPr/>
              <w:t xml:space="preserve">0</w:t>
            </w:r>
          </w:p>
        </w:tc>
      </w:tr>
      <w:tr>
        <w:trPr/>
        <w:tc>
          <w:tcPr>
            <w:tcW w:w="3500" w:type="dxa"/>
            <w:noWrap/>
          </w:tcPr>
          <w:p>
            <w:pPr/>
            <w:r>
              <w:rPr>
                <w:b w:val="1"/>
                <w:bCs w:val="1"/>
              </w:rPr>
              <w:t xml:space="preserve">Αριθμός συμμετεχόντων κατά τον χρόνο εξαγωγής</w:t>
            </w:r>
          </w:p>
        </w:tc>
        <w:tc>
          <w:tcPr>
            <w:tcW w:w="5500" w:type="dxa"/>
            <w:noWrap/>
          </w:tcPr>
          <w:p>
            <w:pPr/>
            <w:r>
              <w:rPr/>
              <w:t xml:space="preserve">0</w:t>
            </w:r>
          </w:p>
        </w:tc>
      </w:tr>
      <w:tr>
        <w:trPr/>
        <w:tc>
          <w:tcPr>
            <w:tcW w:w="3500" w:type="dxa"/>
            <w:noWrap/>
          </w:tcPr>
          <w:p>
            <w:pPr/>
            <w:r>
              <w:rPr>
                <w:b w:val="1"/>
                <w:bCs w:val="1"/>
              </w:rPr>
              <w:t xml:space="preserve">Ημερομηνία και ώρα εξαγωγής</w:t>
            </w:r>
          </w:p>
        </w:tc>
        <w:tc>
          <w:tcPr>
            <w:tcW w:w="5500" w:type="dxa"/>
            <w:noWrap/>
          </w:tcPr>
          <w:p>
            <w:pPr/>
            <w:r>
              <w:rPr/>
              <w:t xml:space="preserve">12-09-2026 07:43:22</w:t>
            </w:r>
          </w:p>
        </w:tc>
      </w:tr>
    </w:tbl>
    <w:p/>
    <w:p/>
    <w:p>
      <w:pPr/>
      <w:r>
        <w:rPr>
          <w:sz w:val="26"/>
          <w:szCs w:val="26"/>
          <w:b w:val="1"/>
          <w:bCs w:val="1"/>
        </w:rPr>
        <w:t xml:space="preserve">Συγκεντρωτικός Πίνακας Δημοσιευμένων Σχολίων ανά Άρθρο</w:t>
      </w:r>
    </w:p>
    <w:tbl>
      <w:tblGrid>
        <w:gridCol w:w="1500" w:type="dxa"/>
        <w:gridCol w:w="6600" w:type="dxa"/>
        <w:gridCol w:w="900" w:type="dxa"/>
      </w:tblGrid>
      <w:tblPr>
        <w:tblW w:w="0" w:type="auto"/>
        <w:tblLayout w:type="autofit"/>
        <w:tblCellMar>
          <w:top w:w="80" w:type="dxa"/>
          <w:left w:w="80" w:type="dxa"/>
          <w:right w:w="80" w:type="dxa"/>
          <w:bottom w:w="80" w:type="dxa"/>
        </w:tblCellMar>
        <w:tblBorders>
          <w:top w:val="single" w:sz="6" w:color="999999"/>
          <w:left w:val="single" w:sz="6" w:color="999999"/>
          <w:right w:val="single" w:sz="6" w:color="999999"/>
          <w:bottom w:val="single" w:sz="6" w:color="999999"/>
          <w:insideH w:val="single" w:sz="6" w:color="999999"/>
          <w:insideV w:val="single" w:sz="6" w:color="999999"/>
        </w:tblBorders>
      </w:tblPr>
      <w:tr>
        <w:trPr>
          <w:tblHeader w:val="1"/>
        </w:trPr>
        <w:tc>
          <w:tcPr>
            <w:tcW w:w="1500" w:type="dxa"/>
            <w:shd w:val="clear" w:fill="E9ECEF"/>
            <w:noWrap/>
          </w:tcPr>
          <w:p>
            <w:pPr/>
            <w:r>
              <w:rPr>
                <w:color w:val="41464B"/>
                <w:b w:val="1"/>
                <w:bCs w:val="1"/>
              </w:rPr>
              <w:t xml:space="preserve">Άρθρο</w:t>
            </w:r>
          </w:p>
        </w:tc>
        <w:tc>
          <w:tcPr>
            <w:tcW w:w="6600" w:type="dxa"/>
            <w:shd w:val="clear" w:fill="E9ECEF"/>
            <w:noWrap/>
          </w:tcPr>
          <w:p>
            <w:pPr/>
            <w:r>
              <w:rPr>
                <w:color w:val="41464B"/>
                <w:b w:val="1"/>
                <w:bCs w:val="1"/>
              </w:rPr>
              <w:t xml:space="preserve">Τίτλος</w:t>
            </w:r>
          </w:p>
        </w:tc>
        <w:tc>
          <w:tcPr>
            <w:tcW w:w="900" w:type="dxa"/>
            <w:shd w:val="clear" w:fill="E9ECEF"/>
            <w:noWrap/>
          </w:tcPr>
          <w:p>
            <w:pPr/>
            <w:r>
              <w:rPr>
                <w:color w:val="41464B"/>
                <w:b w:val="1"/>
                <w:bCs w:val="1"/>
              </w:rPr>
              <w:t xml:space="preserve">Σχόλια</w:t>
            </w:r>
          </w:p>
        </w:tc>
      </w:tr>
      <w:tr>
        <w:trPr/>
        <w:tc>
          <w:tcPr>
            <w:tcW w:w="1500" w:type="dxa"/>
            <w:noWrap/>
          </w:tcPr>
          <w:p>
            <w:hyperlink w:anchor="og_article_1" w:history="1">
              <w:r>
                <w:t xml:space="preserve">Άρθρο 1</w:t>
              </w:r>
            </w:hyperlink>
          </w:p>
        </w:tc>
        <w:tc>
          <w:tcPr>
            <w:tcW w:w="6600" w:type="dxa"/>
            <w:noWrap/>
          </w:tcPr>
          <w:p>
            <w:hyperlink w:anchor="og_article_1" w:history="1">
              <w:r>
                <w:t xml:space="preserve">Σκοπός</w:t>
              </w:r>
            </w:hyperlink>
          </w:p>
        </w:tc>
        <w:tc>
          <w:tcPr>
            <w:tcW w:w="900" w:type="dxa"/>
            <w:noWrap/>
          </w:tcPr>
          <w:p>
            <w:pPr/>
            <w:r>
              <w:rPr/>
              <w:t xml:space="preserve">0</w:t>
            </w:r>
          </w:p>
        </w:tc>
      </w:tr>
      <w:tr>
        <w:trPr/>
        <w:tc>
          <w:tcPr>
            <w:tcW w:w="1500" w:type="dxa"/>
            <w:noWrap/>
          </w:tcPr>
          <w:p>
            <w:hyperlink w:anchor="og_article_2" w:history="1">
              <w:r>
                <w:t xml:space="preserve">Άρθρο 2</w:t>
              </w:r>
            </w:hyperlink>
          </w:p>
        </w:tc>
        <w:tc>
          <w:tcPr>
            <w:tcW w:w="6600" w:type="dxa"/>
            <w:noWrap/>
          </w:tcPr>
          <w:p>
            <w:hyperlink w:anchor="og_article_2" w:history="1">
              <w:r>
                <w:t xml:space="preserve">Αντικείμενο</w:t>
              </w:r>
            </w:hyperlink>
          </w:p>
        </w:tc>
        <w:tc>
          <w:tcPr>
            <w:tcW w:w="900" w:type="dxa"/>
            <w:noWrap/>
          </w:tcPr>
          <w:p>
            <w:pPr/>
            <w:r>
              <w:rPr/>
              <w:t xml:space="preserve">0</w:t>
            </w:r>
          </w:p>
        </w:tc>
      </w:tr>
      <w:tr>
        <w:trPr/>
        <w:tc>
          <w:tcPr>
            <w:tcW w:w="1500" w:type="dxa"/>
            <w:noWrap/>
          </w:tcPr>
          <w:p>
            <w:hyperlink w:anchor="og_article_3" w:history="1">
              <w:r>
                <w:t xml:space="preserve">Άρθρο 3</w:t>
              </w:r>
            </w:hyperlink>
          </w:p>
        </w:tc>
        <w:tc>
          <w:tcPr>
            <w:tcW w:w="6600" w:type="dxa"/>
            <w:noWrap/>
          </w:tcPr>
          <w:p>
            <w:hyperlink w:anchor="og_article_3" w:history="1">
              <w:r>
                <w:t xml:space="preserve">Καθορισμός τιμολογιακής πολιτικής των Οργανισμών Λιμένων που περιλαμβάνονται στο πρόγραμμα αποκρατικοποιήσεων των ν. 3985/2011 και 3986/2011</w:t>
              </w:r>
            </w:hyperlink>
          </w:p>
        </w:tc>
        <w:tc>
          <w:tcPr>
            <w:tcW w:w="900" w:type="dxa"/>
            <w:noWrap/>
          </w:tcPr>
          <w:p>
            <w:pPr/>
            <w:r>
              <w:rPr/>
              <w:t xml:space="preserve">0</w:t>
            </w:r>
          </w:p>
        </w:tc>
      </w:tr>
      <w:tr>
        <w:trPr/>
        <w:tc>
          <w:tcPr>
            <w:tcW w:w="1500" w:type="dxa"/>
            <w:noWrap/>
          </w:tcPr>
          <w:p>
            <w:hyperlink w:anchor="og_article_4" w:history="1">
              <w:r>
                <w:t xml:space="preserve">Άρθρο 4</w:t>
              </w:r>
            </w:hyperlink>
          </w:p>
        </w:tc>
        <w:tc>
          <w:tcPr>
            <w:tcW w:w="6600" w:type="dxa"/>
            <w:noWrap/>
          </w:tcPr>
          <w:p>
            <w:hyperlink w:anchor="og_article_4" w:history="1">
              <w:r>
                <w:t xml:space="preserve">Λειτουργία της εταιρείας Ελληνική Εταιρεία Συμμετοχών και Περιουσίας Α.Ε. ως αρχής σχεδιασμού λιμένων</w:t>
              </w:r>
            </w:hyperlink>
          </w:p>
        </w:tc>
        <w:tc>
          <w:tcPr>
            <w:tcW w:w="900" w:type="dxa"/>
            <w:noWrap/>
          </w:tcPr>
          <w:p>
            <w:pPr/>
            <w:r>
              <w:rPr/>
              <w:t xml:space="preserve">0</w:t>
            </w:r>
          </w:p>
        </w:tc>
      </w:tr>
      <w:tr>
        <w:trPr/>
        <w:tc>
          <w:tcPr>
            <w:tcW w:w="1500" w:type="dxa"/>
            <w:noWrap/>
          </w:tcPr>
          <w:p>
            <w:hyperlink w:anchor="og_article_5" w:history="1">
              <w:r>
                <w:t xml:space="preserve">Άρθρο 5</w:t>
              </w:r>
            </w:hyperlink>
          </w:p>
        </w:tc>
        <w:tc>
          <w:tcPr>
            <w:tcW w:w="6600" w:type="dxa"/>
            <w:noWrap/>
          </w:tcPr>
          <w:p>
            <w:hyperlink w:anchor="og_article_5" w:history="1">
              <w:r>
                <w:t xml:space="preserve">Ανάπτυξη του λιμένα Σούδας Χανίων - Ορισμός της Ελληνικής Εταιρείας Συμμετοχών και Περιουσίας Ανώνυμη Εταιρεία ως αρχής σχεδιασμού</w:t>
              </w:r>
            </w:hyperlink>
          </w:p>
        </w:tc>
        <w:tc>
          <w:tcPr>
            <w:tcW w:w="900" w:type="dxa"/>
            <w:noWrap/>
          </w:tcPr>
          <w:p>
            <w:pPr/>
            <w:r>
              <w:rPr/>
              <w:t xml:space="preserve">0</w:t>
            </w:r>
          </w:p>
        </w:tc>
      </w:tr>
      <w:tr>
        <w:trPr/>
        <w:tc>
          <w:tcPr>
            <w:tcW w:w="1500" w:type="dxa"/>
            <w:noWrap/>
          </w:tcPr>
          <w:p>
            <w:hyperlink w:anchor="og_article_6" w:history="1">
              <w:r>
                <w:t xml:space="preserve">Άρθρο 6</w:t>
              </w:r>
            </w:hyperlink>
          </w:p>
        </w:tc>
        <w:tc>
          <w:tcPr>
            <w:tcW w:w="6600" w:type="dxa"/>
            <w:noWrap/>
          </w:tcPr>
          <w:p>
            <w:hyperlink w:anchor="og_article_6" w:history="1">
              <w:r>
                <w:t xml:space="preserve">Επανακαθορισμός χερσαίας και θαλάσσιας ζώνης λιμένα Πάχης Μεγάρων - Ορισμός ως λιμένα τοπικής σημασίας</w:t>
              </w:r>
            </w:hyperlink>
          </w:p>
        </w:tc>
        <w:tc>
          <w:tcPr>
            <w:tcW w:w="900" w:type="dxa"/>
            <w:noWrap/>
          </w:tcPr>
          <w:p>
            <w:pPr/>
            <w:r>
              <w:rPr/>
              <w:t xml:space="preserve">0</w:t>
            </w:r>
          </w:p>
        </w:tc>
      </w:tr>
      <w:tr>
        <w:trPr/>
        <w:tc>
          <w:tcPr>
            <w:tcW w:w="1500" w:type="dxa"/>
            <w:noWrap/>
          </w:tcPr>
          <w:p>
            <w:hyperlink w:anchor="og_article_7" w:history="1">
              <w:r>
                <w:t xml:space="preserve">Άρθρο 7</w:t>
              </w:r>
            </w:hyperlink>
          </w:p>
        </w:tc>
        <w:tc>
          <w:tcPr>
            <w:tcW w:w="6600" w:type="dxa"/>
            <w:noWrap/>
          </w:tcPr>
          <w:p>
            <w:hyperlink w:anchor="og_article_7" w:history="1">
              <w:r>
                <w:t xml:space="preserve">Ζώνη λιμένα Ρόδου</w:t>
              </w:r>
            </w:hyperlink>
          </w:p>
        </w:tc>
        <w:tc>
          <w:tcPr>
            <w:tcW w:w="900" w:type="dxa"/>
            <w:noWrap/>
          </w:tcPr>
          <w:p>
            <w:pPr/>
            <w:r>
              <w:rPr/>
              <w:t xml:space="preserve">0</w:t>
            </w:r>
          </w:p>
        </w:tc>
      </w:tr>
      <w:tr>
        <w:trPr/>
        <w:tc>
          <w:tcPr>
            <w:tcW w:w="1500" w:type="dxa"/>
            <w:noWrap/>
          </w:tcPr>
          <w:p>
            <w:hyperlink w:anchor="og_article_8" w:history="1">
              <w:r>
                <w:t xml:space="preserve">Άρθρο 8</w:t>
              </w:r>
            </w:hyperlink>
          </w:p>
        </w:tc>
        <w:tc>
          <w:tcPr>
            <w:tcW w:w="6600" w:type="dxa"/>
            <w:noWrap/>
          </w:tcPr>
          <w:p>
            <w:hyperlink w:anchor="og_article_8" w:history="1">
              <w:r>
                <w:t xml:space="preserve">Επανακαθορισμός ζώνης λιμένα Μυτιλήνης - Ορισμός ως λιμένα διεθνούς ενδιαφέροντος</w:t>
              </w:r>
            </w:hyperlink>
          </w:p>
        </w:tc>
        <w:tc>
          <w:tcPr>
            <w:tcW w:w="900" w:type="dxa"/>
            <w:noWrap/>
          </w:tcPr>
          <w:p>
            <w:pPr/>
            <w:r>
              <w:rPr/>
              <w:t xml:space="preserve">0</w:t>
            </w:r>
          </w:p>
        </w:tc>
      </w:tr>
      <w:tr>
        <w:trPr/>
        <w:tc>
          <w:tcPr>
            <w:tcW w:w="1500" w:type="dxa"/>
            <w:noWrap/>
          </w:tcPr>
          <w:p>
            <w:hyperlink w:anchor="og_article_9" w:history="1">
              <w:r>
                <w:t xml:space="preserve">Άρθρο 9</w:t>
              </w:r>
            </w:hyperlink>
          </w:p>
        </w:tc>
        <w:tc>
          <w:tcPr>
            <w:tcW w:w="6600" w:type="dxa"/>
            <w:noWrap/>
          </w:tcPr>
          <w:p>
            <w:hyperlink w:anchor="og_article_9" w:history="1">
              <w:r>
                <w:t xml:space="preserve">Συμβάσεις ασφάλισης πάγιου εξοπλισμού υποπαραχωρησιούχων του ν. 4597/2019</w:t>
              </w:r>
            </w:hyperlink>
          </w:p>
        </w:tc>
        <w:tc>
          <w:tcPr>
            <w:tcW w:w="900" w:type="dxa"/>
            <w:noWrap/>
          </w:tcPr>
          <w:p>
            <w:pPr/>
            <w:r>
              <w:rPr/>
              <w:t xml:space="preserve">0</w:t>
            </w:r>
          </w:p>
        </w:tc>
      </w:tr>
      <w:tr>
        <w:trPr/>
        <w:tc>
          <w:tcPr>
            <w:tcW w:w="1500" w:type="dxa"/>
            <w:noWrap/>
          </w:tcPr>
          <w:p>
            <w:hyperlink w:anchor="og_article_10" w:history="1">
              <w:r>
                <w:t xml:space="preserve">Άρθρο 10</w:t>
              </w:r>
            </w:hyperlink>
          </w:p>
        </w:tc>
        <w:tc>
          <w:tcPr>
            <w:tcW w:w="6600" w:type="dxa"/>
            <w:noWrap/>
          </w:tcPr>
          <w:p>
            <w:hyperlink w:anchor="og_article_10" w:history="1">
              <w:r>
                <w:t xml:space="preserve">Τελική διάταξη</w:t>
              </w:r>
            </w:hyperlink>
          </w:p>
        </w:tc>
        <w:tc>
          <w:tcPr>
            <w:tcW w:w="900" w:type="dxa"/>
            <w:noWrap/>
          </w:tcPr>
          <w:p>
            <w:pPr/>
            <w:r>
              <w:rPr/>
              <w:t xml:space="preserve">0</w:t>
            </w:r>
          </w:p>
        </w:tc>
      </w:tr>
      <w:tr>
        <w:trPr/>
        <w:tc>
          <w:tcPr>
            <w:tcW w:w="1500" w:type="dxa"/>
            <w:noWrap/>
          </w:tcPr>
          <w:p>
            <w:hyperlink w:anchor="og_article_11" w:history="1">
              <w:r>
                <w:t xml:space="preserve">Άρθρο 11</w:t>
              </w:r>
            </w:hyperlink>
          </w:p>
        </w:tc>
        <w:tc>
          <w:tcPr>
            <w:tcW w:w="6600" w:type="dxa"/>
            <w:noWrap/>
          </w:tcPr>
          <w:p>
            <w:hyperlink w:anchor="og_article_11" w:history="1">
              <w:r>
                <w:t xml:space="preserve">Καταργούμενες διατάξεις</w:t>
              </w:r>
            </w:hyperlink>
          </w:p>
        </w:tc>
        <w:tc>
          <w:tcPr>
            <w:tcW w:w="900" w:type="dxa"/>
            <w:noWrap/>
          </w:tcPr>
          <w:p>
            <w:pPr/>
            <w:r>
              <w:rPr/>
              <w:t xml:space="preserve">0</w:t>
            </w:r>
          </w:p>
        </w:tc>
      </w:tr>
      <w:tr>
        <w:trPr/>
        <w:tc>
          <w:tcPr>
            <w:tcW w:w="1500" w:type="dxa"/>
            <w:noWrap/>
          </w:tcPr>
          <w:p>
            <w:hyperlink w:anchor="og_article_12" w:history="1">
              <w:r>
                <w:t xml:space="preserve">Άρθρο 12</w:t>
              </w:r>
            </w:hyperlink>
          </w:p>
        </w:tc>
        <w:tc>
          <w:tcPr>
            <w:tcW w:w="6600" w:type="dxa"/>
            <w:noWrap/>
          </w:tcPr>
          <w:p>
            <w:hyperlink w:anchor="og_article_12" w:history="1">
              <w:r>
                <w:t xml:space="preserve">Διαδικασία καταβολής δαπανών και οφειλών από τη συμμετοχή της Ελλάδας στην Υπηρεσία Περιπολίας κατά των Πάγων του Βορείου Ατλαντικού - Προσθήκη άρθρου 2Α στον ν. 4172/1961</w:t>
              </w:r>
            </w:hyperlink>
          </w:p>
        </w:tc>
        <w:tc>
          <w:tcPr>
            <w:tcW w:w="900" w:type="dxa"/>
            <w:noWrap/>
          </w:tcPr>
          <w:p>
            <w:pPr/>
            <w:r>
              <w:rPr/>
              <w:t xml:space="preserve">0</w:t>
            </w:r>
          </w:p>
        </w:tc>
      </w:tr>
      <w:tr>
        <w:trPr/>
        <w:tc>
          <w:tcPr>
            <w:tcW w:w="1500" w:type="dxa"/>
            <w:noWrap/>
          </w:tcPr>
          <w:p>
            <w:hyperlink w:anchor="og_article_13" w:history="1">
              <w:r>
                <w:t xml:space="preserve">Άρθρο 13</w:t>
              </w:r>
            </w:hyperlink>
          </w:p>
        </w:tc>
        <w:tc>
          <w:tcPr>
            <w:tcW w:w="6600" w:type="dxa"/>
            <w:noWrap/>
          </w:tcPr>
          <w:p>
            <w:hyperlink w:anchor="og_article_13" w:history="1">
              <w:r>
                <w:t xml:space="preserve">Έσοδα από το Τέλος Επαγγελματικού Πλοίου Αναψυχής, σύμφωνα με το Δίκαιο Άλλης Χώρας - Αντικατάσταση παρ. 5 άρθρου 9 ν. 4926/2022</w:t>
              </w:r>
            </w:hyperlink>
          </w:p>
        </w:tc>
        <w:tc>
          <w:tcPr>
            <w:tcW w:w="900" w:type="dxa"/>
            <w:noWrap/>
          </w:tcPr>
          <w:p>
            <w:pPr/>
            <w:r>
              <w:rPr/>
              <w:t xml:space="preserve">0</w:t>
            </w:r>
          </w:p>
        </w:tc>
      </w:tr>
      <w:tr>
        <w:trPr/>
        <w:tc>
          <w:tcPr>
            <w:tcW w:w="1500" w:type="dxa"/>
            <w:noWrap/>
          </w:tcPr>
          <w:p>
            <w:hyperlink w:anchor="og_article_14" w:history="1">
              <w:r>
                <w:t xml:space="preserve">Άρθρο 14</w:t>
              </w:r>
            </w:hyperlink>
          </w:p>
        </w:tc>
        <w:tc>
          <w:tcPr>
            <w:tcW w:w="6600" w:type="dxa"/>
            <w:noWrap/>
          </w:tcPr>
          <w:p>
            <w:hyperlink w:anchor="og_article_14" w:history="1">
              <w:r>
                <w:t xml:space="preserve">Σύγκληση της Γενικής Συνέλευσης της Ν.Ε.Π.Α. - Τροποποίηση παρ. 4 άρθρου 46 ν. 4926/2022</w:t>
              </w:r>
            </w:hyperlink>
          </w:p>
        </w:tc>
        <w:tc>
          <w:tcPr>
            <w:tcW w:w="900" w:type="dxa"/>
            <w:noWrap/>
          </w:tcPr>
          <w:p>
            <w:pPr/>
            <w:r>
              <w:rPr/>
              <w:t xml:space="preserve">0</w:t>
            </w:r>
          </w:p>
        </w:tc>
      </w:tr>
      <w:tr>
        <w:trPr/>
        <w:tc>
          <w:tcPr>
            <w:tcW w:w="1500" w:type="dxa"/>
            <w:noWrap/>
          </w:tcPr>
          <w:p>
            <w:hyperlink w:anchor="og_article_15" w:history="1">
              <w:r>
                <w:t xml:space="preserve">Άρθρο 15</w:t>
              </w:r>
            </w:hyperlink>
          </w:p>
        </w:tc>
        <w:tc>
          <w:tcPr>
            <w:tcW w:w="6600" w:type="dxa"/>
            <w:noWrap/>
          </w:tcPr>
          <w:p>
            <w:hyperlink w:anchor="og_article_15" w:history="1">
              <w:r>
                <w:t xml:space="preserve">Καταχώριση καταστατικού και αρμοδιότητες επόπτη Μητρώου Ναυτιλιακών Εταιρειών Πλοίων Αναψυχής - Τροποποίηση παρ. 4 άρθρου 61 ν. 4926/2022</w:t>
              </w:r>
            </w:hyperlink>
          </w:p>
        </w:tc>
        <w:tc>
          <w:tcPr>
            <w:tcW w:w="900" w:type="dxa"/>
            <w:noWrap/>
          </w:tcPr>
          <w:p>
            <w:pPr/>
            <w:r>
              <w:rPr/>
              <w:t xml:space="preserve">0</w:t>
            </w:r>
          </w:p>
        </w:tc>
      </w:tr>
      <w:tr>
        <w:trPr/>
        <w:tc>
          <w:tcPr>
            <w:tcW w:w="1500" w:type="dxa"/>
            <w:noWrap/>
          </w:tcPr>
          <w:p>
            <w:hyperlink w:anchor="og_article_16" w:history="1">
              <w:r>
                <w:t xml:space="preserve">Άρθρο 16</w:t>
              </w:r>
            </w:hyperlink>
          </w:p>
        </w:tc>
        <w:tc>
          <w:tcPr>
            <w:tcW w:w="6600" w:type="dxa"/>
            <w:noWrap/>
          </w:tcPr>
          <w:p>
            <w:hyperlink w:anchor="og_article_16" w:history="1">
              <w:r>
                <w:t xml:space="preserve">Παροχή υγειονομικής περίθαλψης σε δόκιμους παραγωγικών σχολών του Λιμενικού Σώματος - Ελληνικής Ακτοφυλακής - Τροποποίηση παρ. 1 άρθρου 123 ν. 3079/2002</w:t>
              </w:r>
            </w:hyperlink>
          </w:p>
        </w:tc>
        <w:tc>
          <w:tcPr>
            <w:tcW w:w="900" w:type="dxa"/>
            <w:noWrap/>
          </w:tcPr>
          <w:p>
            <w:pPr/>
            <w:r>
              <w:rPr/>
              <w:t xml:space="preserve">0</w:t>
            </w:r>
          </w:p>
        </w:tc>
      </w:tr>
      <w:tr>
        <w:trPr/>
        <w:tc>
          <w:tcPr>
            <w:tcW w:w="1500" w:type="dxa"/>
            <w:noWrap/>
          </w:tcPr>
          <w:p>
            <w:hyperlink w:anchor="og_article_17" w:history="1">
              <w:r>
                <w:t xml:space="preserve">Άρθρο 17</w:t>
              </w:r>
            </w:hyperlink>
          </w:p>
        </w:tc>
        <w:tc>
          <w:tcPr>
            <w:tcW w:w="6600" w:type="dxa"/>
            <w:noWrap/>
          </w:tcPr>
          <w:p>
            <w:hyperlink w:anchor="og_article_17" w:history="1">
              <w:r>
                <w:t xml:space="preserve">Ασφάλιση και παροχή ιατροφαρμακευτικής περίθαλψης σε στελέχη του Λιμενικού Σώματος - Ελληνικής Ακτοφυλακής που υπηρετούν σε έδρες Ναυτιλιακών Ακολούθων εκτός Ευρωπαϊκής Ένωσης - Τροποποίηση περ. β) παρ. 2 άρθρου 324 ν. 4781/2021</w:t>
              </w:r>
            </w:hyperlink>
          </w:p>
        </w:tc>
        <w:tc>
          <w:tcPr>
            <w:tcW w:w="900" w:type="dxa"/>
            <w:noWrap/>
          </w:tcPr>
          <w:p>
            <w:pPr/>
            <w:r>
              <w:rPr/>
              <w:t xml:space="preserve">0</w:t>
            </w:r>
          </w:p>
        </w:tc>
      </w:tr>
      <w:tr>
        <w:trPr/>
        <w:tc>
          <w:tcPr>
            <w:tcW w:w="1500" w:type="dxa"/>
            <w:noWrap/>
          </w:tcPr>
          <w:p>
            <w:hyperlink w:anchor="og_article_18" w:history="1">
              <w:r>
                <w:t xml:space="preserve">Άρθρο 18</w:t>
              </w:r>
            </w:hyperlink>
          </w:p>
        </w:tc>
        <w:tc>
          <w:tcPr>
            <w:tcW w:w="6600" w:type="dxa"/>
            <w:noWrap/>
          </w:tcPr>
          <w:p>
            <w:hyperlink w:anchor="og_article_18" w:history="1">
              <w:r>
                <w:t xml:space="preserve">Έναρξη ισχύος</w:t>
              </w:r>
            </w:hyperlink>
          </w:p>
        </w:tc>
        <w:tc>
          <w:tcPr>
            <w:tcW w:w="900" w:type="dxa"/>
            <w:noWrap/>
          </w:tcPr>
          <w:p>
            <w:pPr/>
            <w:r>
              <w:rPr/>
              <w:t xml:space="preserve">0</w:t>
            </w:r>
          </w:p>
        </w:tc>
      </w:tr>
    </w:tbl>
    <w:p/>
    <w:p/>
    <w:bookmarkStart w:id="0" w:name="og_article_1"/>
    <w:bookmarkEnd w:id="0"/>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1 – Σκοπός</w:t>
      </w:r>
    </w:p>
    <w:p>
      <w:pPr>
        <w:jc w:val="both"/>
      </w:pPr>
      <w:r>
        <w:rPr>
          <w:sz w:val="22"/>
          <w:szCs w:val="22"/>
        </w:rPr>
        <w:t xml:space="preserve">Σκοπός του παρόντος είναι:</w:t>
      </w:r>
    </w:p>
    <w:p>
      <w:pPr>
        <w:jc w:val="both"/>
      </w:pPr>
      <w:r>
        <w:rPr>
          <w:sz w:val="22"/>
          <w:szCs w:val="22"/>
        </w:rPr>
        <w:t xml:space="preserve">α) η επικαιροποίηση του πλαισίου λειτουργίας των οργανισμών λιμένων, με στόχο την προσέλκυση νέων επενδύσεων και την ανταπόκρισή τους στις ανάγκες της λιμενικής αγοράς,</w:t>
      </w:r>
    </w:p>
    <w:p>
      <w:pPr>
        <w:jc w:val="both"/>
      </w:pPr>
      <w:r>
        <w:rPr>
          <w:sz w:val="22"/>
          <w:szCs w:val="22"/>
        </w:rPr>
        <w:t xml:space="preserve">β) η δημιουργία ενός σύγχρονου και ανταγωνιστικού περιβάλλοντος για τη λειτουργία των ελληνικών λιμένων με την ενίσχυση της οικονομικής βιωσιμότητας των οργανισμών λιμένων και τη διασφάλιση ισότιμων όρων ανταγωνισμού ανεξάρτητα από το μοντέλο διοίκησης κάθε λιμένα,</w:t>
      </w:r>
    </w:p>
    <w:p>
      <w:pPr>
        <w:jc w:val="both"/>
      </w:pPr>
      <w:r>
        <w:rPr>
          <w:sz w:val="22"/>
          <w:szCs w:val="22"/>
        </w:rPr>
        <w:t xml:space="preserve">γ) η επίλυση διοικητικών εκκρεμοτήτων και η άρση θεσμικών εμποδίων στην υλοποίηση επενδύσεων και έργων υποδομής, με σκοπό την αποτελεσματικότερη αξιοποίηση των λιμενικών εγκαταστάσεων,</w:t>
      </w:r>
    </w:p>
    <w:p>
      <w:pPr>
        <w:jc w:val="both"/>
      </w:pPr>
      <w:r>
        <w:rPr>
          <w:sz w:val="22"/>
          <w:szCs w:val="22"/>
        </w:rPr>
        <w:t xml:space="preserve">δ) η αναβάθμιση του ρόλου των ελληνικών λιμένων στις διεθνείς θαλάσσιες μεταφορές και η ενίσχυση της αναπτυξιακής τους δυναμικής και</w:t>
      </w:r>
    </w:p>
    <w:p>
      <w:pPr>
        <w:jc w:val="both"/>
      </w:pPr>
      <w:r>
        <w:rPr>
          <w:sz w:val="22"/>
          <w:szCs w:val="22"/>
        </w:rPr>
        <w:t xml:space="preserve">ε) η βελτίωση της λειτουργίας και της διοικητικής οργάνωσης του Υπουργείου Ναυτιλίας και Νησιωτικής Πολιτικής μέσω της ρύθμισης ειδικότερων θεμάτων αρμοδιότητάς του.</w:t>
      </w:r>
    </w:p>
    <w:p/>
    <w:p>
      <w:pPr/>
      <w:r>
        <w:rPr>
          <w:sz w:val="22"/>
          <w:szCs w:val="22"/>
          <w:b w:val="1"/>
          <w:bCs w:val="1"/>
        </w:rPr>
        <w:t xml:space="preserve">Σχόλια επί του άρθρου 1</w:t>
      </w:r>
    </w:p>
    <w:p>
      <w:pPr/>
      <w:r>
        <w:rPr>
          <w:i w:val="1"/>
          <w:iCs w:val="1"/>
        </w:rPr>
        <w:t xml:space="preserve">Δεν έχουν υποβληθεί δημοσιευμένα σχόλια επί του άρθρου.</w:t>
      </w:r>
    </w:p>
    <w:p/>
    <w:p/>
    <w:bookmarkStart w:id="1" w:name="og_article_2"/>
    <w:bookmarkEnd w:id="1"/>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2 – Αντικείμενο</w:t>
      </w:r>
    </w:p>
    <w:p>
      <w:pPr>
        <w:jc w:val="both"/>
      </w:pPr>
      <w:r>
        <w:rPr>
          <w:sz w:val="22"/>
          <w:szCs w:val="22"/>
        </w:rPr>
        <w:t xml:space="preserve">Αντικείμενο του παρόντος είναι:</w:t>
      </w:r>
    </w:p>
    <w:p>
      <w:pPr>
        <w:jc w:val="both"/>
      </w:pPr>
      <w:r>
        <w:rPr>
          <w:sz w:val="22"/>
          <w:szCs w:val="22"/>
        </w:rPr>
        <w:t xml:space="preserve">α) η ρύθμιση της τιμολογιακής πολιτικής και θεμάτων λειτουργίας των οργανισμών λιμένων,</w:t>
      </w:r>
    </w:p>
    <w:p>
      <w:pPr>
        <w:jc w:val="both"/>
      </w:pPr>
      <w:r>
        <w:rPr>
          <w:sz w:val="22"/>
          <w:szCs w:val="22"/>
        </w:rPr>
        <w:t xml:space="preserve">β) η ρύθμιση θεμάτων που αφορούν στην άσκηση αρμοδιοτήτων της αρχής σχεδιασμού λιμένων από την ανώνυμη εταιρεία με την επωνυμία «Ελληνική Εταιρεία Συμμετοχών και Περιουσίας Α.Ε.»,</w:t>
      </w:r>
    </w:p>
    <w:p>
      <w:pPr>
        <w:jc w:val="both"/>
      </w:pPr>
      <w:r>
        <w:rPr>
          <w:sz w:val="22"/>
          <w:szCs w:val="22"/>
        </w:rPr>
        <w:t xml:space="preserve">γ) η ρύθμιση ζητημάτων που αφορούν στις λιμενικές ζώνες Πάχης Μεγάρων, Ρόδου και Μυτιλήνης και</w:t>
      </w:r>
    </w:p>
    <w:p>
      <w:pPr>
        <w:jc w:val="both"/>
      </w:pPr>
      <w:r>
        <w:rPr>
          <w:sz w:val="22"/>
          <w:szCs w:val="22"/>
        </w:rPr>
        <w:t xml:space="preserve">δ) η ρύθμιση θεμάτων οργάνωσης και προσωπικού του Υπουργείου Ναυτιλίας και Νησιωτικής Πολιτικής.</w:t>
      </w:r>
    </w:p>
    <w:p/>
    <w:p>
      <w:pPr/>
      <w:r>
        <w:rPr>
          <w:sz w:val="22"/>
          <w:szCs w:val="22"/>
          <w:b w:val="1"/>
          <w:bCs w:val="1"/>
        </w:rPr>
        <w:t xml:space="preserve">Σχόλια επί του άρθρου 2</w:t>
      </w:r>
    </w:p>
    <w:p>
      <w:pPr/>
      <w:r>
        <w:rPr>
          <w:i w:val="1"/>
          <w:iCs w:val="1"/>
        </w:rPr>
        <w:t xml:space="preserve">Δεν έχουν υποβληθεί δημοσιευμένα σχόλια επί του άρθρου.</w:t>
      </w:r>
    </w:p>
    <w:p/>
    <w:p/>
    <w:bookmarkStart w:id="2" w:name="og_article_3"/>
    <w:bookmarkEnd w:id="2"/>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3 – Καθορισμός τιμολογιακής πολιτικής των Οργανισμών Λιμένων που περιλαμβάνονται στο πρόγραμμα αποκρατικοποιήσεων των ν. 3985/2011 και 3986/2011</w:t>
      </w:r>
    </w:p>
    <w:p>
      <w:pPr>
        <w:jc w:val="both"/>
      </w:pPr>
      <w:r>
        <w:rPr>
          <w:sz w:val="22"/>
          <w:szCs w:val="22"/>
        </w:rPr>
        <w:t xml:space="preserve">1. Με την επιφύλαξη της παρ. 2, η τιμολογιακή πολιτική των Οργανισμών Λιμένων με εταιρική μορφή ανώνυμης εταιρείας (εφεξής «Οργανισμοί Λιμένων Α.Ε.»), οι οποίοι συστάθηκαν με το άρθρο εικοστό πρώτο του ν. 2932/2001 (A΄ 145) και περιλαμβάνονται στο πρόγραμμα αποκρατικοποιήσεων που υλοποιείται σύμφωνα με τον ν. 3985/2011 (Α’ 151) και τον ν. 3986/2011 (Α’ 152), καθορίζεται με απόφαση του διοικητικού συμβουλίου του οικείου Οργανισμού Λιμένος Α.Ε..</w:t>
      </w:r>
    </w:p>
    <w:p>
      <w:pPr>
        <w:jc w:val="both"/>
      </w:pPr>
      <w:r>
        <w:rPr>
          <w:sz w:val="22"/>
          <w:szCs w:val="22"/>
        </w:rPr>
        <w:t xml:space="preserve">2. Με κοινή απόφαση των Υπουργών Ναυτιλίας και Νησιωτικής Πολιτικής και Εθνικής Οικονομίας και Οικονομικών και κατά παρέκκλιση της παρ. 1, εγκρίνονται τα τέλη ελλιμενισμού και τέλη λιμενικών υποδομών:</w:t>
      </w:r>
    </w:p>
    <w:p>
      <w:pPr>
        <w:jc w:val="both"/>
      </w:pPr>
      <w:r>
        <w:rPr>
          <w:sz w:val="22"/>
          <w:szCs w:val="22"/>
        </w:rPr>
        <w:t xml:space="preserve">α) που αφορούν στην παροχή υπηρεσιών Επιβατηγών – Οχηματαγωγών (Ε/Γ-Ο/Γ) και</w:t>
      </w:r>
    </w:p>
    <w:p>
      <w:pPr>
        <w:jc w:val="both"/>
      </w:pPr>
      <w:r>
        <w:rPr>
          <w:sz w:val="22"/>
          <w:szCs w:val="22"/>
        </w:rPr>
        <w:t xml:space="preserve">β) για τις λιμενικές υπηρεσίες και δραστηριότητες ως προς τις οποίες δεν υφίσταται ενδολιμενικός ή διαλιμενικός ανταγωνισμός, εφόσον η προτεινόμενη αύξησή τους υπερβαίνει το τρία τοις εκατό (3%) σε σχέση με το προ της αύξησης ύψος των τελών.</w:t>
      </w:r>
    </w:p>
    <w:p>
      <w:pPr>
        <w:jc w:val="both"/>
      </w:pPr>
      <w:r>
        <w:rPr>
          <w:sz w:val="22"/>
          <w:szCs w:val="22"/>
        </w:rPr>
        <w:t xml:space="preserve">Για τον υπολογισμό του ποσοστού αύξησης του πρώτου εδαφίου, δεν λαμβάνεται υπόψη η αναπροσαρμογή των τελών με βάση τον δείκτη τιμών καταναλωτή που ίσχυε για κάθε έτος από το έτος του προηγούμενου καθορισμού τους.</w:t>
      </w:r>
    </w:p>
    <w:p>
      <w:pPr>
        <w:jc w:val="both"/>
      </w:pPr>
      <w:r>
        <w:rPr>
          <w:sz w:val="22"/>
          <w:szCs w:val="22"/>
        </w:rPr>
        <w:t xml:space="preserve">3. Αν από την αναπροσαρμογή των τελών ελλιμενισμού και των τελών λιμενικών υποδομών της παρ. 1 προκύπτει μείωση εσόδων σε σχέση με τον προϋπολογισμό του εκάστοτε Οργανισμού Λιμένος, όπως αυτός εγκρίνεται σύμφωνα με τον ν. 4270/2014 (Α΄ 143), απαιτείται απόφαση της Γενικής Συνέλευσης.</w:t>
      </w:r>
    </w:p>
    <w:p/>
    <w:p>
      <w:pPr/>
      <w:r>
        <w:rPr>
          <w:sz w:val="22"/>
          <w:szCs w:val="22"/>
          <w:b w:val="1"/>
          <w:bCs w:val="1"/>
        </w:rPr>
        <w:t xml:space="preserve">Σχόλια επί του άρθρου 3</w:t>
      </w:r>
    </w:p>
    <w:p>
      <w:pPr/>
      <w:r>
        <w:rPr>
          <w:i w:val="1"/>
          <w:iCs w:val="1"/>
        </w:rPr>
        <w:t xml:space="preserve">Δεν έχουν υποβληθεί δημοσιευμένα σχόλια επί του άρθρου.</w:t>
      </w:r>
    </w:p>
    <w:p/>
    <w:p/>
    <w:bookmarkStart w:id="3" w:name="og_article_4"/>
    <w:bookmarkEnd w:id="3"/>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4 – Λειτουργία της εταιρείας Ελληνική Εταιρεία Συμμετοχών και Περιουσίας Α.Ε. ως αρχής σχεδιασμού λιμένων</w:t>
      </w:r>
    </w:p>
    <w:p>
      <w:pPr>
        <w:jc w:val="both"/>
      </w:pPr>
      <w:r>
        <w:rPr>
          <w:sz w:val="22"/>
          <w:szCs w:val="22"/>
        </w:rPr>
        <w:t xml:space="preserve">1. Στις αναθέσεις συμβάσεων παροχής υπηρεσιών, στις οποίες προβαίνει η εταιρεία με την επωνυμία «Ελληνική Εταιρεία Συμμετοχών και Περιουσίας Α.Ε.» (Ε.Ε.ΣΥ.Π.) στο πλαίσιο της άσκησης των αρμοδιοτήτων της ως αρχής σχεδιασμού λιμένων, εφαρμόζεται η υπ’ αρ. 2/16128/0025/19.2.2014 απόφαση του Υπουργού Οικονομικών «Τροποποίηση – Κωδικοποίηση Κανονισμού Όρων και Διαδικασιών Αναθέσεων και Προμηθειών της ανώνυμης εταιρείας με την επωνυμία «Ταμείο Αξιοποίησης Ιδιωτικής Περιουσίας του Δημοσίου Α.Ε.» (Β΄ 476).</w:t>
      </w:r>
    </w:p>
    <w:p>
      <w:pPr>
        <w:jc w:val="both"/>
      </w:pPr>
      <w:r>
        <w:rPr>
          <w:sz w:val="22"/>
          <w:szCs w:val="22"/>
        </w:rPr>
        <w:t xml:space="preserve">2. Οι δαπάνες της Ε.Ε.ΣΥ.Π. για την άσκηση των αρμοδιοτήτων της ως αρχής σχεδιασμού, καλύπτονται από τον ειδικό λογαριασμό της παρ. 14 του άρθρου 2 του ν. 3986/2011 (Α΄ 152), περί εσόδων.</w:t>
      </w:r>
    </w:p>
    <w:p>
      <w:pPr>
        <w:jc w:val="both"/>
      </w:pPr>
      <w:r>
        <w:rPr>
          <w:sz w:val="22"/>
          <w:szCs w:val="22"/>
        </w:rPr>
        <w:t xml:space="preserve">3. Για τους λιμένες στους οποίους η Ε.Ε.ΣΥ.Π. λειτουργεί ως αρχή σχεδιασμού και στους οποίους η πλειοψηφία των μετοχών του φορέα διοίκησης και εκμετάλλευσης ανήκει σε ιδιώτη, καταβάλλεται στην Ε.Ε.ΣΥ.Π., για την κάλυψη των αναγκαίων λειτουργικών δαπανών της που συνδέονται με την οριστικοποίηση των απαιτούμενων μελετών, τη διαδικασία διαβούλευσης των περιβαλλοντικών όρων και την παροχή των αναγκαίων διοικητικών και δικαστικών εγκρίσεων, ποσό είκοσι πέντε χιλιάδων (25.000) ευρώ ετησίως, ανά λιμένα, έως και την έγκριση του αντίστοιχου Αναπτυξιακού Προγράμματος και Μελέτης Διαχείρισης (MasterPlan). Το ποσό του πρώτου εδαφίου παρακρατείται ετησίως από το Ελληνικό Δημόσιο, από την ετήσια αμοιβή παραχώρησης, που καταβάλλεται δυνάμει της εκάστοτε σύμβασης παραχώρησης σε λογαριασμό της Ε.Ε.ΣΥ.Π. πριν από την απόδοση του αντισταθμιστικού τέλους της παρ. 3 του άρθρου 5 του ν. 4597/2019 (Α΄ 35) προς τους οικείους δήμους.</w:t>
      </w:r>
    </w:p>
    <w:p>
      <w:pPr>
        <w:jc w:val="both"/>
      </w:pPr>
      <w:r>
        <w:rPr>
          <w:sz w:val="22"/>
          <w:szCs w:val="22"/>
        </w:rPr>
        <w:t xml:space="preserve">4. Όταν η Ε.Ε.ΣΥ.Π. ενεργεί ως αρχή σχεδιασμού για λιμένα τον οποίο διαχειρίζεται ιδιώτης, δυνάμει σύμβασης υποπαραχώρησης του ν. 4597/2019, η Ε.Ε.ΣΥ.Π. παρακρατεί το ίδιο ποσό από την αμοιβή υποπαραχώρησης που εισπράττει, προ της απόδοσής της στο Ελληνικό Δημόσιο. Ειδικά ως προς τα εγκεκριμένα αναπτυξιακά προγράμματα των λιμένων Πειραιώς και Θεσσαλονίκης, καταβάλλονται εφάπαξ στην Ε.Ε.ΣΥ.Π. για την κάλυψη των λειτουργικών δαπανών της, ποσό εκατόν είκοσι χιλιάδων (120.000) ευρώ και εκατό χιλιάδων (100.000) ευρώ, αντίστοιχα. Τα ποσά του πρώτου εδαφίου παρακρατούνται από τις αντίστοιχες αμοιβές παραχώρησης που εισπράττει το Ελληνικό Δημόσιο από την κάθε σύμβαση παραχώρησης και καταβάλλονται σε λογαριασμό της Ε.Ε.ΣΥ.Π., πριν από την απόδοση του αντισταθμιστικού τέλους προς τους οικείους δήμους.</w:t>
      </w:r>
    </w:p>
    <w:p/>
    <w:p>
      <w:pPr/>
      <w:r>
        <w:rPr>
          <w:sz w:val="22"/>
          <w:szCs w:val="22"/>
          <w:b w:val="1"/>
          <w:bCs w:val="1"/>
        </w:rPr>
        <w:t xml:space="preserve">Σχόλια επί του άρθρου 4</w:t>
      </w:r>
    </w:p>
    <w:p>
      <w:pPr/>
      <w:r>
        <w:rPr>
          <w:i w:val="1"/>
          <w:iCs w:val="1"/>
        </w:rPr>
        <w:t xml:space="preserve">Δεν έχουν υποβληθεί δημοσιευμένα σχόλια επί του άρθρου.</w:t>
      </w:r>
    </w:p>
    <w:p/>
    <w:p/>
    <w:bookmarkStart w:id="4" w:name="og_article_5"/>
    <w:bookmarkEnd w:id="4"/>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5 – Ανάπτυξη του λιμένα Σούδας Χανίων - Ορισμός της Ελληνικής Εταιρείας Συμμετοχών και Περιουσίας Ανώνυμη Εταιρεία ως αρχής σχεδιασμού</w:t>
      </w:r>
    </w:p>
    <w:p>
      <w:pPr>
        <w:jc w:val="both"/>
      </w:pPr>
      <w:r>
        <w:rPr>
          <w:sz w:val="22"/>
          <w:szCs w:val="22"/>
        </w:rPr>
        <w:t xml:space="preserve">1. Η εκπόνηση μελετών και η εκτέλεση έργων στον λιμένα Σούδας Χανίων, στο πλαίσιο εγκεκριμένου αναπτυξιακού προγράμματος και μελέτης διαχείρισης (MasterPlan), δύναται να χρηματοδοτούνται από τον ειδικό λογαριασμό της παρ. 14 του άρθρου 2 του ν. 3986/2011 (Α΄ 152), περί εσόδων, σύμφωνα με την περ. ε) της παρ. 1 του άρθρου 1 του ίδιου νόμου, περί σύστασης, σκοπού, επωνυμίας, έδρας και διάρκειας, και το άρθρο 5Ε του ως άνω νόμου, περί ανάπτυξης λιμενικών υποδομών.</w:t>
      </w:r>
    </w:p>
    <w:p>
      <w:pPr>
        <w:jc w:val="both"/>
      </w:pPr>
      <w:r>
        <w:rPr>
          <w:sz w:val="22"/>
          <w:szCs w:val="22"/>
        </w:rPr>
        <w:t xml:space="preserve">2. Εφόσον οι μελέτες και τα έργα της παρ. 1 έχουν εγκριθεί από την Κυβερνητική Επιτροπή Συμβάσεων Στρατηγικής Σημασίας της περ. ζ) του άρθρου 126 του ν. 4799/2021 (Α΄ 78), περί ορισμών, αναφορικά με την επιλογή έργων που αφορούν στον εν λόγω λιμένα, δεν απαιτείται η ένταξή τους στο επιχειρησιακό πρόγραμμα της ανώνυμης εταιρείας «Ελληνική Εταιρεία Συμμετοχών και Περιουσίας Α.Ε.» (Ε.Ε.ΣΥ.Π.), σύμφωνα με την παρ. 2 του άρθρου 5Ε του ν. 3986/2011.</w:t>
      </w:r>
    </w:p>
    <w:p>
      <w:pPr>
        <w:jc w:val="both"/>
      </w:pPr>
      <w:r>
        <w:rPr>
          <w:sz w:val="22"/>
          <w:szCs w:val="22"/>
        </w:rPr>
        <w:t xml:space="preserve">3. Η Ε.Ε.ΣΥ.Π. ορίζεται ως αρχή σχεδιασμού, κατά την έννοια του άρθρου 159 του ν. 4635/2019, περί εκπόνησης στρατηγικής περιβαλλοντικής εκτίμησης, για τον λιμένα Σούδας Χανίων.</w:t>
      </w:r>
    </w:p>
    <w:p>
      <w:pPr>
        <w:jc w:val="both"/>
      </w:pPr>
      <w:r>
        <w:rPr>
          <w:sz w:val="22"/>
          <w:szCs w:val="22"/>
        </w:rPr>
        <w:t xml:space="preserve">4. Μεταξύ της Ε.Ε.ΣΥ.Π. και του νομικού προσώπου δημοσίου δικαίου «Λιμενικό Ταμείο Χανίων» συνάπτεται σύμβαση, με την οποία ορίζονται οι όροι συνεργασίας και η αμοιβή της Ε.Ε.ΣΥ.Π. ως αρχής σχεδιασμού.</w:t>
      </w:r>
    </w:p>
    <w:p/>
    <w:p>
      <w:pPr/>
      <w:r>
        <w:rPr>
          <w:sz w:val="22"/>
          <w:szCs w:val="22"/>
          <w:b w:val="1"/>
          <w:bCs w:val="1"/>
        </w:rPr>
        <w:t xml:space="preserve">Σχόλια επί του άρθρου 5</w:t>
      </w:r>
    </w:p>
    <w:p>
      <w:pPr/>
      <w:r>
        <w:rPr>
          <w:i w:val="1"/>
          <w:iCs w:val="1"/>
        </w:rPr>
        <w:t xml:space="preserve">Δεν έχουν υποβληθεί δημοσιευμένα σχόλια επί του άρθρου.</w:t>
      </w:r>
    </w:p>
    <w:p/>
    <w:p/>
    <w:bookmarkStart w:id="5" w:name="og_article_6"/>
    <w:bookmarkEnd w:id="5"/>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6 – Επανακαθορισμός χερσαίας και θαλάσσιας ζώνης λιμένα Πάχης Μεγάρων - Ορισμός ως λιμένα τοπικής σημασίας</w:t>
      </w:r>
    </w:p>
    <w:p>
      <w:pPr>
        <w:jc w:val="both"/>
      </w:pPr>
      <w:r>
        <w:rPr>
          <w:sz w:val="22"/>
          <w:szCs w:val="22"/>
        </w:rPr>
        <w:t xml:space="preserve">1. Η ζώνη λιμένα Πάχης Μεγάρων επανακαθορίζεται και τα όρια της χερσαίας και θαλάσσιας ζώνης αυτής οριοθετούνται όπως εμφαίνονται στα από 5.4.2025 τοπογραφικά διαγράμματα της εταιρείας μελετών με την επωνυμία «TOPOSITE Ε.Ε.», τα οποία προσαρτώνται στον παρόντα ως Παραρτήματα Α΄ και Β΄ και αποτελούν αναπόσπαστο μέρος του.</w:t>
      </w:r>
    </w:p>
    <w:p>
      <w:pPr>
        <w:jc w:val="both"/>
      </w:pPr>
      <w:r>
        <w:rPr>
          <w:sz w:val="22"/>
          <w:szCs w:val="22"/>
        </w:rPr>
        <w:t xml:space="preserve">2. Ο λιμένας Πάχης Μεγάρων χαρακτηρίζεται ως λιμένας τοπικής σημασίας, με φορέα διαχείρισης και εκμετάλλευσης την εταιρεία «Οργανισμός Λιμένος Ελευσίνας Α.Ε.».</w:t>
      </w:r>
    </w:p>
    <w:p/>
    <w:p>
      <w:pPr/>
      <w:r>
        <w:rPr>
          <w:sz w:val="22"/>
          <w:szCs w:val="22"/>
          <w:b w:val="1"/>
          <w:bCs w:val="1"/>
        </w:rPr>
        <w:t xml:space="preserve">Σχόλια επί του άρθρου 6</w:t>
      </w:r>
    </w:p>
    <w:p>
      <w:pPr/>
      <w:r>
        <w:rPr>
          <w:i w:val="1"/>
          <w:iCs w:val="1"/>
        </w:rPr>
        <w:t xml:space="preserve">Δεν έχουν υποβληθεί δημοσιευμένα σχόλια επί του άρθρου.</w:t>
      </w:r>
    </w:p>
    <w:p/>
    <w:p/>
    <w:bookmarkStart w:id="6" w:name="og_article_7"/>
    <w:bookmarkEnd w:id="6"/>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7 – Ζώνη λιμένα Ρόδου</w:t>
      </w:r>
    </w:p>
    <w:p>
      <w:pPr>
        <w:jc w:val="both"/>
      </w:pPr>
      <w:r>
        <w:rPr>
          <w:sz w:val="22"/>
          <w:szCs w:val="22"/>
        </w:rPr>
        <w:t xml:space="preserve">Εντός της καθορισμένης ζώνης λιμένα Ρόδου επιτρέπεται να υφίστανται τμήματα τα οποία ανήκουν κατά κυριότητα στον Δήμο Ρόδου. Τα τμήματα του πρώτου εδαφίου δύνανται να περιλαμβάνονται στο αναπτυξιακό πρόγραμμα και μελέτη διαχείρισης (MasterPlan) που εκπονείται για τον λιμένα Ρόδου, σύμφωνα με το άρθρο δέκατο ένατο του ν. 2932/2001 (Α΄ 145). Ως προς τα τμήματα αυτά δεν εφαρμόζεται η παρ. 1 του άρθρου 22 του ν. 2971/2001 (Α΄ 285) και αυτά δύναται να συμπεριλαμβάνονται σε παραχωρήσεις που πραγματοποιούνται σύμφωνα με τις διαδικασίες του ν. 3986/2011 (Α΄ 152), εφόσον έχουν περιληφθεί σε απόφαση που εκδίδεται σύμφωνα με την παρ. 5 του άρθρου 2 του νόμου αυτού.</w:t>
      </w:r>
    </w:p>
    <w:p/>
    <w:p>
      <w:pPr/>
      <w:r>
        <w:rPr>
          <w:sz w:val="22"/>
          <w:szCs w:val="22"/>
          <w:b w:val="1"/>
          <w:bCs w:val="1"/>
        </w:rPr>
        <w:t xml:space="preserve">Σχόλια επί του άρθρου 7</w:t>
      </w:r>
    </w:p>
    <w:p>
      <w:pPr/>
      <w:r>
        <w:rPr>
          <w:i w:val="1"/>
          <w:iCs w:val="1"/>
        </w:rPr>
        <w:t xml:space="preserve">Δεν έχουν υποβληθεί δημοσιευμένα σχόλια επί του άρθρου.</w:t>
      </w:r>
    </w:p>
    <w:p/>
    <w:p/>
    <w:bookmarkStart w:id="7" w:name="og_article_8"/>
    <w:bookmarkEnd w:id="7"/>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8 – Επανακαθορισμός ζώνης λιμένα Μυτιλήνης - Ορισμός ως λιμένα διεθνούς ενδιαφέροντος</w:t>
      </w:r>
    </w:p>
    <w:p>
      <w:pPr>
        <w:jc w:val="both"/>
      </w:pPr>
      <w:r>
        <w:rPr>
          <w:sz w:val="22"/>
          <w:szCs w:val="22"/>
        </w:rPr>
        <w:t xml:space="preserve">1. Η ζώνη λιμένα Μυτιλήνης επανακαθορίζεται, όπως αποτυπώνεται με πράσινη γραμμή, στο από 25.4.2025 τοπογραφικό διάγραμμα του τοπογράφου μηχανικού Ευαγγέλου Αλατζά, που προσαρτάται στον παρόντα ως Παράρτημα Γ΄ και αποτελεί αναπόσπαστο μέρος του.</w:t>
      </w:r>
    </w:p>
    <w:p>
      <w:pPr>
        <w:jc w:val="both"/>
      </w:pPr>
      <w:r>
        <w:rPr>
          <w:sz w:val="22"/>
          <w:szCs w:val="22"/>
        </w:rPr>
        <w:t xml:space="preserve">2. Ο λιμένας Μυτιλήνης ορίζεται ως λιμένας διεθνούς ενδιαφέροντος με φορέα διαχείρισης το νομικό πρόσωπο δημοσίου δικαίου «Διαδημοτικό Λιμενικό Ταμείο Λέσβου». Για τον λιμένα Μυτιλήνης εκπονείται αναπτυξιακό πρόγραμμα και μελέτη διαχείρισης (MasterPlan), σύμφωνα με τα οριζόμενα στο άρθρο δέκατο ένατο του ν. 2932/2001 (Α΄ 145).</w:t>
      </w:r>
    </w:p>
    <w:p>
      <w:pPr>
        <w:jc w:val="both"/>
      </w:pPr>
      <w:r>
        <w:rPr>
          <w:sz w:val="22"/>
          <w:szCs w:val="22"/>
        </w:rPr>
        <w:t xml:space="preserve">3. Για το τμήμα του ακινήτου ιδιοκτησίας της ανώνυμης εταιρείας με την επωνυμία «Εταιρεία Ακινήτων Δημοσίου Ανώνυμη Εταιρεία» (Ε.Τ.Α.Δ. Α.Ε.), το οποίο εμφαίνεται με μπλε γραμμοσκίαση στο Παράρτημα Γ΄ και εντάσσεται στη χερσαία ζώνη, σύμφωνα με την παρ. 1, δεν εφαρμόζεται η παρ. 1 του άρθρου 22 του ν. 2971/2001 (Α΄ 285). Για το τμήμα αυτό καταβάλλεται από το Διαδημοτικό Λιμενικό Ταμείο Λέσβου στην Ε.Τ.Α.Δ. Α.Ε. ετησίως αντάλλαγμα χρήσης ύψους είκοσι πέντε χιλιάδων (25.000) ευρώ. Με συμφωνία μεταξύ του Διαδημοτικού Λιμενικού Ταμείου Λέσβου και της Ε.Τ.Α.Δ. Α.Ε. καθορίζονται ο χρόνος και ο τρόπος καταβολής του ανταλλάγματος, η διάρκεια της χρήσης και κάθε άλλο αναγκαίο ζήτημα.</w:t>
      </w:r>
    </w:p>
    <w:p/>
    <w:p>
      <w:pPr/>
      <w:r>
        <w:rPr>
          <w:sz w:val="22"/>
          <w:szCs w:val="22"/>
          <w:b w:val="1"/>
          <w:bCs w:val="1"/>
        </w:rPr>
        <w:t xml:space="preserve">Σχόλια επί του άρθρου 8</w:t>
      </w:r>
    </w:p>
    <w:p>
      <w:pPr/>
      <w:r>
        <w:rPr>
          <w:i w:val="1"/>
          <w:iCs w:val="1"/>
        </w:rPr>
        <w:t xml:space="preserve">Δεν έχουν υποβληθεί δημοσιευμένα σχόλια επί του άρθρου.</w:t>
      </w:r>
    </w:p>
    <w:p/>
    <w:p/>
    <w:bookmarkStart w:id="8" w:name="og_article_9"/>
    <w:bookmarkEnd w:id="8"/>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9 – Συμβάσεις ασφάλισης πάγιου εξοπλισμού υποπαραχωρησιούχων του ν. 4597/2019</w:t>
      </w:r>
    </w:p>
    <w:p>
      <w:pPr>
        <w:jc w:val="both"/>
      </w:pPr>
      <w:r>
        <w:rPr>
          <w:sz w:val="22"/>
          <w:szCs w:val="22"/>
        </w:rPr>
        <w:t xml:space="preserve">Οι υποπαραχωρησιούχοι συμβάσεων υποπαραχώρησης που καταρτίζονται δυνάμει του ν. 4597/2019 (Α΄ 35) ασφαλίζουν, με βάση τα ειδικότερα οριζόμενα στην εκάστοτε σύμβαση υποπαραχώρησης, τον πάγιο εξοπλισμό που κατέχουν και διαχειρίζονται, έστω και αν δεν τους έχει μεταβιβαστεί κατά κυριότητα.</w:t>
      </w:r>
    </w:p>
    <w:p/>
    <w:p>
      <w:pPr/>
      <w:r>
        <w:rPr>
          <w:sz w:val="22"/>
          <w:szCs w:val="22"/>
          <w:b w:val="1"/>
          <w:bCs w:val="1"/>
        </w:rPr>
        <w:t xml:space="preserve">Σχόλια επί του άρθρου 9</w:t>
      </w:r>
    </w:p>
    <w:p>
      <w:pPr/>
      <w:r>
        <w:rPr>
          <w:i w:val="1"/>
          <w:iCs w:val="1"/>
        </w:rPr>
        <w:t xml:space="preserve">Δεν έχουν υποβληθεί δημοσιευμένα σχόλια επί του άρθρου.</w:t>
      </w:r>
    </w:p>
    <w:p/>
    <w:p/>
    <w:bookmarkStart w:id="9" w:name="og_article_10"/>
    <w:bookmarkEnd w:id="9"/>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10 – Τελική διάταξη</w:t>
      </w:r>
    </w:p>
    <w:p>
      <w:pPr>
        <w:jc w:val="both"/>
      </w:pPr>
      <w:r>
        <w:rPr>
          <w:sz w:val="22"/>
          <w:szCs w:val="22"/>
        </w:rPr>
        <w:t xml:space="preserve">Οι διατάξεις του Κεφαλαίου Α΄ του παρόντος Μέρους δεν θίγουν ευνοϊκότερες ρυθμίσεις των συμβάσεων παραχώρησης που έχουν κυρωθεί με τους ν. 5048/2023 (Α΄ 149), 5112/2024 (Α΄ 94), 5126/2024 (Α΄ 115) και 5244/2025 (Α΄ 190), των συμβάσεων υποπαραχώρησης που κυρώνονται σύμφωνα με την παρ. 2 του άρθρου 3 του ν. 4597/2019 (Α΄ 35), καθώς και την εφαρμογή του άρθρου 20 του ν. 3622/2007 (Α΄ 281), περί λιμενικών τελών επιβατών, οχημάτων, σκοπού και τρόπου επιβολής τους.</w:t>
      </w:r>
    </w:p>
    <w:p/>
    <w:p>
      <w:pPr/>
      <w:r>
        <w:rPr>
          <w:sz w:val="22"/>
          <w:szCs w:val="22"/>
          <w:b w:val="1"/>
          <w:bCs w:val="1"/>
        </w:rPr>
        <w:t xml:space="preserve">Σχόλια επί του άρθρου 10</w:t>
      </w:r>
    </w:p>
    <w:p>
      <w:pPr/>
      <w:r>
        <w:rPr>
          <w:i w:val="1"/>
          <w:iCs w:val="1"/>
        </w:rPr>
        <w:t xml:space="preserve">Δεν έχουν υποβληθεί δημοσιευμένα σχόλια επί του άρθρου.</w:t>
      </w:r>
    </w:p>
    <w:p/>
    <w:p/>
    <w:bookmarkStart w:id="10" w:name="og_article_11"/>
    <w:bookmarkEnd w:id="10"/>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11 – Καταργούμενες διατάξεις</w:t>
      </w:r>
    </w:p>
    <w:p>
      <w:pPr>
        <w:jc w:val="both"/>
      </w:pPr>
      <w:r>
        <w:rPr>
          <w:sz w:val="22"/>
          <w:szCs w:val="22"/>
        </w:rPr>
        <w:t xml:space="preserve">Από την έναρξη ισχύος του παρόντος καταργείται το άρθρο 82 του ν. 5042/2023 (Α΄ 88), περί καθορισμού της τιμολογιακής πολιτικής των Οργανισμών Λιμένων – εξουσιοδοτικής διάταξης.</w:t>
      </w:r>
    </w:p>
    <w:p/>
    <w:p>
      <w:pPr/>
      <w:r>
        <w:rPr>
          <w:sz w:val="22"/>
          <w:szCs w:val="22"/>
          <w:b w:val="1"/>
          <w:bCs w:val="1"/>
        </w:rPr>
        <w:t xml:space="preserve">Σχόλια επί του άρθρου 11</w:t>
      </w:r>
    </w:p>
    <w:p>
      <w:pPr/>
      <w:r>
        <w:rPr>
          <w:i w:val="1"/>
          <w:iCs w:val="1"/>
        </w:rPr>
        <w:t xml:space="preserve">Δεν έχουν υποβληθεί δημοσιευμένα σχόλια επί του άρθρου.</w:t>
      </w:r>
    </w:p>
    <w:p/>
    <w:p/>
    <w:bookmarkStart w:id="11" w:name="og_article_12"/>
    <w:bookmarkEnd w:id="11"/>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12 – Διαδικασία καταβολής δαπανών και οφειλών από τη συμμετοχή της Ελλάδας στην Υπηρεσία Περιπολίας κατά των Πάγων του Βορείου Ατλαντικού - Προσθήκη άρθρου 2Α στον ν. 4172/1961</w:t>
      </w:r>
    </w:p>
    <w:p>
      <w:pPr>
        <w:jc w:val="both"/>
      </w:pPr>
      <w:r>
        <w:rPr>
          <w:sz w:val="22"/>
          <w:szCs w:val="22"/>
        </w:rPr>
        <w:t xml:space="preserve">1. Στον ν. 4172/1961 (Α΄ 93) προστίθεται άρθρο 2Α ως εξής:</w:t>
      </w:r>
    </w:p>
    <w:p>
      <w:pPr>
        <w:jc w:val="center"/>
      </w:pPr>
      <w:r>
        <w:rPr>
          <w:sz w:val="22"/>
          <w:szCs w:val="22"/>
        </w:rPr>
        <w:t xml:space="preserve">«Άρθρο 2Α</w:t>
      </w:r>
    </w:p>
    <w:p>
      <w:pPr>
        <w:jc w:val="center"/>
      </w:pPr>
      <w:r>
        <w:rPr>
          <w:sz w:val="22"/>
          <w:szCs w:val="22"/>
        </w:rPr>
        <w:t xml:space="preserve">Διαδικασία καταβολής δαπανών και οφειλών από τη συμμετοχή της Ελλάδας στην Υπηρεσία Περιπολίας κατά των Πάγων του Βορείου Ατλαντικού</w:t>
      </w:r>
    </w:p>
    <w:p>
      <w:pPr>
        <w:jc w:val="both"/>
      </w:pPr>
      <w:r>
        <w:rPr>
          <w:sz w:val="22"/>
          <w:szCs w:val="22"/>
        </w:rPr>
        <w:t xml:space="preserve">1. Το ύψος των δαπανών και οφειλών που απορρέουν από τη συμμετοχή της Ελλάδας στην Υπηρεσία Περιπολίας κατά των Πάγων του Βορείου Ατλαντικού, γνωστοποιείται στο Υπουργείο Ναυτιλίας και Νησιωτικής Πολιτικής με ρηματική διακοίνωση ή άλλο επίσημο έγγραφο από αρχή ή υπηρεσία των Ηνωμένων Πολιτειών της Αμερικής (Η.Π.Α.), σε έντυπη ή ηλεκτρονική μορφή, με συνημμένα τα δικαιολογητικά της παρ. 3.</w:t>
      </w:r>
    </w:p>
    <w:p>
      <w:pPr>
        <w:jc w:val="both"/>
      </w:pPr>
      <w:r>
        <w:rPr>
          <w:sz w:val="22"/>
          <w:szCs w:val="22"/>
        </w:rPr>
        <w:t xml:space="preserve">2. Για την εκκαθάριση και πληρωμή της δαπάνης, τα στοιχεία της παρ. 1 διαβιβάζονται στην αρμόδια υπηρεσία ελέγχου του Υπουργείου Ναυτιλίας και Νησιωτικής Πολιτικής και συνοδεύονται από:</w:t>
      </w:r>
    </w:p>
    <w:p>
      <w:pPr>
        <w:jc w:val="both"/>
      </w:pPr>
      <w:r>
        <w:rPr>
          <w:sz w:val="22"/>
          <w:szCs w:val="22"/>
        </w:rPr>
        <w:t xml:space="preserve">α) θεωρημένο υπόμνημα δαπάνης.</w:t>
      </w:r>
    </w:p>
    <w:p>
      <w:pPr>
        <w:jc w:val="both"/>
      </w:pPr>
      <w:r>
        <w:rPr>
          <w:sz w:val="22"/>
          <w:szCs w:val="22"/>
        </w:rPr>
        <w:t xml:space="preserve">β) απόφαση ανάληψης υποχρέωσης.</w:t>
      </w:r>
    </w:p>
    <w:p>
      <w:pPr>
        <w:jc w:val="both"/>
      </w:pPr>
      <w:r>
        <w:rPr>
          <w:sz w:val="22"/>
          <w:szCs w:val="22"/>
        </w:rPr>
        <w:t xml:space="preserve">γ) επίσημη μετάφραση στην ελληνική γλώσσα των επισυναπτόμενων ξενόγλωσσων εγγράφων.</w:t>
      </w:r>
    </w:p>
    <w:p>
      <w:pPr>
        <w:jc w:val="both"/>
      </w:pPr>
      <w:r>
        <w:rPr>
          <w:sz w:val="22"/>
          <w:szCs w:val="22"/>
        </w:rPr>
        <w:t xml:space="preserve">δ) έγγραφη επιβεβαίωση για την ορθότητα της αναγραφόμενης στους συνημμένους πίνακες χωρητικότητας των υπό ελληνική σημαία πλοίων.</w:t>
      </w:r>
    </w:p>
    <w:p>
      <w:pPr>
        <w:jc w:val="both"/>
      </w:pPr>
      <w:r>
        <w:rPr>
          <w:sz w:val="22"/>
          <w:szCs w:val="22"/>
        </w:rPr>
        <w:t xml:space="preserve">3. Με απόφαση του Υπουργού Ναυτιλίας και Νησιωτικής Πολιτικής καθορίζονται τα δικαιολογητικά της παρ. 1 για τον καθορισμό της συνολικής οφειλής που απορρέει από τη συμμετοχή της Ελλάδας στην Υπηρεσία Περιπολίας κατά των Πάγων του Βόρειου Ατλαντικού καθώς και κάθε συναφής λεπτομέρεια.».</w:t>
      </w:r>
    </w:p>
    <w:p>
      <w:pPr>
        <w:jc w:val="both"/>
      </w:pPr>
      <w:r>
        <w:rPr>
          <w:sz w:val="22"/>
          <w:szCs w:val="22"/>
        </w:rPr>
        <w:t xml:space="preserve">2. Η καταβολή των δαπανών και οφειλών που αφορούν στα έτη 2013 και 2015 έως 2026, πραγματοποιείται με τα δικαιολογητικά που καθορίζονται με την απόφαση της παρ. 3 του άρθρου 2Α του ν. 4172/1961.</w:t>
      </w:r>
    </w:p>
    <w:p/>
    <w:p>
      <w:pPr/>
      <w:r>
        <w:rPr>
          <w:sz w:val="22"/>
          <w:szCs w:val="22"/>
          <w:b w:val="1"/>
          <w:bCs w:val="1"/>
        </w:rPr>
        <w:t xml:space="preserve">Σχόλια επί του άρθρου 12</w:t>
      </w:r>
    </w:p>
    <w:p>
      <w:pPr/>
      <w:r>
        <w:rPr>
          <w:i w:val="1"/>
          <w:iCs w:val="1"/>
        </w:rPr>
        <w:t xml:space="preserve">Δεν έχουν υποβληθεί δημοσιευμένα σχόλια επί του άρθρου.</w:t>
      </w:r>
    </w:p>
    <w:p/>
    <w:p/>
    <w:bookmarkStart w:id="12" w:name="og_article_13"/>
    <w:bookmarkEnd w:id="12"/>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13 – Έσοδα από το Τέλος Επαγγελματικού Πλοίου Αναψυχής, σύμφωνα με το Δίκαιο Άλλης Χώρας - Αντικατάσταση παρ. 5 άρθρου 9 ν. 4926/2022</w:t>
      </w:r>
    </w:p>
    <w:p>
      <w:pPr>
        <w:jc w:val="both"/>
      </w:pPr>
      <w:r>
        <w:rPr>
          <w:sz w:val="22"/>
          <w:szCs w:val="22"/>
        </w:rPr>
        <w:t xml:space="preserve">Η παρ. 5 του άρθρου 9 του ν. 4926/2022 (Α’ 82), περί Τέλους Επαγγελματικού Πλοίου Αναψυχής, σύμφωνα με το Δίκαιο Άλλης Χώρας (Τ.Ε.Π.Α.Δ.Α.Χ.) αντικαθίσταται ως εξής:</w:t>
      </w:r>
    </w:p>
    <w:p>
      <w:pPr>
        <w:jc w:val="both"/>
      </w:pPr>
      <w:r>
        <w:rPr>
          <w:sz w:val="22"/>
          <w:szCs w:val="22"/>
        </w:rPr>
        <w:t xml:space="preserve">«5. Τα έσοδα από το Τ.Ε.Π.Α.Δ.Α.Χ. εγγράφονται ως πιστώσεις στον ειδικό φορέα του Αρχηγείου του Λιμενικού Σώματος – Ελληνικής Ακτοφυλακής (Λ.Σ.-ΕΛ.ΑΚΤ.) του τακτικού προϋπολογισμού του Υπουργείου Ναυτιλίας και Νησιωτικής Πολιτικής, συμπεριλαμβανομένων και των υπαγόμενων σε αυτό Υπηρεσιών, εκάστου οικονομικού έτους με βάση τις εκτιμήσεις εσόδων του τελευταίου απολογιστικού έτους. Στην περίπτωση που τα απολογιστικά ποσά εσόδων υπερβαίνουν τις αρχικώς εγγεγραμμένες πιστώσεις στον εκτελούμενο προϋπολογισμό που διατέθηκαν για τον συγκεκριμένο σκοπό, εγγράφονται συμπληρωματικές πιστώσεις στον ειδικό φορέα του τακτικού προϋπολογισμού του Αρχηγείου του Λ.Σ.-ΕΛ.ΑΚΤ., συμπεριλαμβανομένων και των υπαγόμενων σε αυτό Υπηρεσιών. Το σύνολο των ανωτέρω πιστώσεων διατίθεται αποκλειστικά για την αντιμετώπιση των λειτουργικών δαπανών του Λ.Σ.-ΕΛ.ΑΚΤ.».</w:t>
      </w:r>
    </w:p>
    <w:p/>
    <w:p>
      <w:pPr/>
      <w:r>
        <w:rPr>
          <w:sz w:val="22"/>
          <w:szCs w:val="22"/>
          <w:b w:val="1"/>
          <w:bCs w:val="1"/>
        </w:rPr>
        <w:t xml:space="preserve">Σχόλια επί του άρθρου 13</w:t>
      </w:r>
    </w:p>
    <w:p>
      <w:pPr/>
      <w:r>
        <w:rPr>
          <w:i w:val="1"/>
          <w:iCs w:val="1"/>
        </w:rPr>
        <w:t xml:space="preserve">Δεν έχουν υποβληθεί δημοσιευμένα σχόλια επί του άρθρου.</w:t>
      </w:r>
    </w:p>
    <w:p/>
    <w:p/>
    <w:bookmarkStart w:id="13" w:name="og_article_14"/>
    <w:bookmarkEnd w:id="13"/>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14 – Σύγκληση της Γενικής Συνέλευσης της Ν.Ε.Π.Α. - Τροποποίηση παρ. 4 άρθρου 46 ν. 4926/2022</w:t>
      </w:r>
    </w:p>
    <w:p>
      <w:pPr>
        <w:jc w:val="both"/>
      </w:pPr>
      <w:r>
        <w:rPr>
          <w:sz w:val="22"/>
          <w:szCs w:val="22"/>
        </w:rPr>
        <w:t xml:space="preserve">Στην παρ. 4 του άρθρου 46 του ν. 4926/2022 (Α΄ 82), περί σύγκλησης της γενικής συνέλευσης της ναυτιλιακής εταιρείας πλοίων αναψυχής, επέρχονται οι ακόλουθες τροποποιήσεις: α) το δεύτερο εδάφιο αντικαθίσταται, β) προστίθενται νέα εδάφια, τρίτο και τέταρτο, και η παρ. 4 διαμορφώνεται ως εξής:</w:t>
      </w:r>
    </w:p>
    <w:p>
      <w:pPr>
        <w:jc w:val="both"/>
      </w:pPr>
      <w:r>
        <w:rPr>
          <w:sz w:val="22"/>
          <w:szCs w:val="22"/>
        </w:rPr>
        <w:t xml:space="preserve">«4. Για την παράλειψη της υποχρέωσης του πρώτου και δεύτερου εδαφίου της παρ. 1, δημιουργείται υποχρέωση προκαταβολής ηλεκτρονικού παράβολου υπέρ του Δημοσίου χιλίων (1.000) ευρώ πριν την πρώτη επόμενη καταχώριση στο Μητρώο Ν.Ε.Π.Α. Τα ανωτέρω έσοδα εγγράφονται ισόποσα ως πιστώσεις στον ειδικό φορέα της Γενικής Γραμματείας Ναυτιλίας και Λιμένων του τακτικού προϋπολογισμού του Υπουργείου Ναυτιλίας και Νησιωτικής Πολιτικής εκάστου οικονομικού έτους με βάση τα στοιχεία εσόδων του τελευταίου απολογιστικού έτους. Αν τα απολογιστικά ποσά εσόδων υπερβαίνουν τις αρχικώς εγγεγραμμένες πιστώσεις στον εκτελούμενο προϋπολογισμό που διατέθηκαν για τον συγκεκριμένο σκοπό, εγγράφονται συμπληρωματικές πιστώσεις στον ειδικό φορέα της Γενικής Γραμματείας Ναυτιλίας και Λιμένων του Τακτικού Προϋπολογισμού του Υπουργείου Ναυτιλίας και Νησιωτικής Πολιτικής. Το σύνολο των ανωτέρω πιστώσεων διατίθεται αποκλειστικά για την αντιμετώπιση των λειτουργικών δαπανών της Γενικής Γραμματείας Ναυτιλίας και Λιμένων του Υπουργείου Ναυτιλίας και Νησιωτικής Πολιτικής.».</w:t>
      </w:r>
    </w:p>
    <w:p/>
    <w:p>
      <w:pPr/>
      <w:r>
        <w:rPr>
          <w:sz w:val="22"/>
          <w:szCs w:val="22"/>
          <w:b w:val="1"/>
          <w:bCs w:val="1"/>
        </w:rPr>
        <w:t xml:space="preserve">Σχόλια επί του άρθρου 14</w:t>
      </w:r>
    </w:p>
    <w:p>
      <w:pPr/>
      <w:r>
        <w:rPr>
          <w:i w:val="1"/>
          <w:iCs w:val="1"/>
        </w:rPr>
        <w:t xml:space="preserve">Δεν έχουν υποβληθεί δημοσιευμένα σχόλια επί του άρθρου.</w:t>
      </w:r>
    </w:p>
    <w:p/>
    <w:p/>
    <w:bookmarkStart w:id="14" w:name="og_article_15"/>
    <w:bookmarkEnd w:id="14"/>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15 – Καταχώριση καταστατικού και αρμοδιότητες επόπτη Μητρώου Ναυτιλιακών Εταιρειών Πλοίων Αναψυχής - Τροποποίηση παρ. 4 άρθρου 61 ν. 4926/2022</w:t>
      </w:r>
    </w:p>
    <w:p>
      <w:pPr>
        <w:jc w:val="both"/>
      </w:pPr>
      <w:r>
        <w:rPr>
          <w:sz w:val="22"/>
          <w:szCs w:val="22"/>
        </w:rPr>
        <w:t xml:space="preserve">Στην παρ. 4 του άρθρου 61 του ν. 4926/2022 (Α’ 82), περί καταχώρισης καταστατικού και αρμοδιοτήτων επόπτη μητρώου ναυτιλιακών εταιρειών πλοίων αναψυχής, προστίθενται νέα εδάφια, τρίτο, τέταρτο και πέμπτο, και, μετά από νομοτεχνικές βελτιώσεις, η παρ. 4 διαμορφώνεται ως εξής:</w:t>
      </w:r>
    </w:p>
    <w:p>
      <w:pPr>
        <w:jc w:val="both"/>
      </w:pPr>
      <w:r>
        <w:rPr>
          <w:sz w:val="22"/>
          <w:szCs w:val="22"/>
        </w:rPr>
        <w:t xml:space="preserve">«4. Για οποιαδήποτε καταχώριση στο μητρώο υποβάλλεται αίτηση. Για την καταχώριση του καταστατικού που αναφέρεται στην παρ. 1 προκαταβάλλεται ηλεκτρονικό παράβολο υπέρ του Δημοσίου διακοσίων πενήντα (250) ευρώ, εκ του οποίου ποσό εκατό (100) ευρώ εγγράφεται ως πίστωση στον ειδικό φορέα της Γενικής Γραμματείας Ναυτιλίας και Λιμένων του Τακτικού Προϋπολογισμού του Υπουργείου Ναυτιλίας και Νησιωτικής Πολιτικής. Για τις καταχωρίσεις αποφάσεων των οργάνων της εταιρείας προκαταβάλλεται ηλεκτρονικό παράβολο υπέρ του Δημοσίου εβδομήντα (70) ευρώ για κάθε καταχώριση, εκ του οποίου ποσό τριάντα (30) ευρώ εγγράφεται ως πίστωση στον ειδικό φορέα της Γενικής Γραμματείας Ναυτιλίας και Λιμένων του Τακτικού Προϋπολογισμού του Υπουργείου Ναυτιλίας και Νησιωτικής Πολιτικής. Τα παράβολα υπέρ του Δημοσίου της παρούσας εγγράφονται με αναλογία ποσού, ως πιστώσεις στον ειδικό φορέα της Γενικής Γραμματείας Ναυτιλίας και Λιμένων του Τακτικού Προϋπολογισμού του Υπουργείου Ναυτιλίας και Νησιωτικής Πολιτικής εκάστου οικονομικού έτους με βάση τα στοιχεία εσόδων του τελευταίου απολογιστικού έτους. Αν τα απολογιστικά ποσά εσόδων υπερβαίνουν τις αρχικώς εγγεγραμμένες πιστώσεις στον εκτελούμενο προϋπολογισμό που διατέθηκαν για τον συγκεκριμένο σκοπό, εγγράφονται συμπληρωματικές πιστώσεις στον ειδικό φορέα της Γενικής Γραμματείας Ναυτιλίας και Λιμένων του Τακτικού Προϋπολογισμού του Υπουργείου Ναυτιλίας και Νησιωτικής Πολιτικής. Το σύνολο των ανωτέρω πιστώσεων διατίθενται αποκλειστικά για την αντιμετώπιση των λειτουργικών δαπανών της Γενικής Γραμματείας Ναυτιλίας και Λιμένων του Υπουργείου Ναυτιλίας και Νησιωτικής Πολιτικής.».</w:t>
      </w:r>
    </w:p>
    <w:p/>
    <w:p>
      <w:pPr/>
      <w:r>
        <w:rPr>
          <w:sz w:val="22"/>
          <w:szCs w:val="22"/>
          <w:b w:val="1"/>
          <w:bCs w:val="1"/>
        </w:rPr>
        <w:t xml:space="preserve">Σχόλια επί του άρθρου 15</w:t>
      </w:r>
    </w:p>
    <w:p>
      <w:pPr/>
      <w:r>
        <w:rPr>
          <w:i w:val="1"/>
          <w:iCs w:val="1"/>
        </w:rPr>
        <w:t xml:space="preserve">Δεν έχουν υποβληθεί δημοσιευμένα σχόλια επί του άρθρου.</w:t>
      </w:r>
    </w:p>
    <w:p/>
    <w:p/>
    <w:bookmarkStart w:id="15" w:name="og_article_16"/>
    <w:bookmarkEnd w:id="15"/>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16 – Παροχή υγειονομικής περίθαλψης σε δόκιμους παραγωγικών σχολών του Λιμενικού Σώματος - Ελληνικής Ακτοφυλακής - Τροποποίηση παρ. 1 άρθρου 123 ν. 3079/2002</w:t>
      </w:r>
    </w:p>
    <w:p>
      <w:pPr>
        <w:jc w:val="both"/>
      </w:pPr>
      <w:r>
        <w:rPr>
          <w:sz w:val="22"/>
          <w:szCs w:val="22"/>
        </w:rPr>
        <w:t xml:space="preserve">Στην παρ. 1 του άρθρου 123 του Κώδικα Προσωπικού Λιμενικού Σώματος (ν. 3079/2002, Α΄ 311), περί υγειονομικής περίθαλψης και ασφάλισης, επέρχονται οι ακόλουθες τροποποιήσεις: α) στο τέταρτο εδάφιο, οι λέξεις «των Υπουργών Οικονομικών, Υγείας και Κοινωνικής Αλληλεγγύης και Προστασίας του Πολίτη» αντικαθίστανται από τις λέξεις «των Υπουργών Εθνικής Οικονομίας και Οικονομικών, Υγείας, Εργασίας και Κοινωνικής Ασφάλισης και Ναυτιλίας και Νησιωτικής Πολιτικής», β) προστίθεται πέμπτο εδάφιο και η παρ. 1 διαμορφώνεται ως εξής:</w:t>
      </w:r>
    </w:p>
    <w:p>
      <w:pPr>
        <w:jc w:val="both"/>
      </w:pPr>
      <w:r>
        <w:rPr>
          <w:sz w:val="22"/>
          <w:szCs w:val="22"/>
        </w:rPr>
        <w:t xml:space="preserve">«1. Για την υγειονομική περίθαλψη του προσωπικού Λ.Σ. ισχύουν αναλόγως οι διατάξεις για την υγειονομική περίθαλψη των στρατιωτικών και των μελών των οικογενειών τους. Η υγειονομική περίθαλψη του προσωπικού του Λιμενικού Σώματος παρέχεται επίσης από γενικά ή ειδικά κρατικά νοσοκομεία, μονάδες περίθαλψης εντός ή εκτός του Ε.Σ.Υ. ή άλλα ιδρύματα κοινωφελούς χαρακτήρα, από ιδιωτικές κλινικές και ιδιωτικά νοσηλευτικά ιδρύματα συμβεβλημένα ή μη με το Δημόσιο και από ιδιώτες ιατρούς, συμβεβλημένους ή μη με το Δημόσιο, καθώς και με αποστολή στην αλλοδαπή σε ειδικές περιπτώσεις. Οι δαπάνες υγειονομικής περίθαλψης κοστολογούνται και εξοφλούνται με βάση το ισχύον τιμολόγιο του Δημοσίου. Με προεδρικό διάταγμα, που εκδίδεται ύστερα από πρόταση των Υπουργών Εθνικής Οικονομίας και Οικονομικών, Υγείας, Εργασίας και Κοινωνικής Ασφάλισης και Ναυτιλίας και Νησιωτικής Πολιτικής, καθορίζονται οι ειδικότεροι όροι και οι προϋποθέσεις εφαρμογής των διατάξεων του προηγούμενου εδαφίου. Η παρούσα εφαρμόζεται και για τους δόκιμους των παραγωγικών σχολών του Λιμενικού Σώματος – Ελληνικής Ακτοφυλακής, εξαιρουμένων των μελών των οικογενειών τους, υπό την προϋπόθεση ότι από τις μηνιαίες αποδοχές τους παρακρατούνται ασφαλιστικές εισφορές υπέρ κλάδου υγείας.».</w:t>
      </w:r>
    </w:p>
    <w:p/>
    <w:p>
      <w:pPr/>
      <w:r>
        <w:rPr>
          <w:sz w:val="22"/>
          <w:szCs w:val="22"/>
          <w:b w:val="1"/>
          <w:bCs w:val="1"/>
        </w:rPr>
        <w:t xml:space="preserve">Σχόλια επί του άρθρου 16</w:t>
      </w:r>
    </w:p>
    <w:p>
      <w:pPr/>
      <w:r>
        <w:rPr>
          <w:i w:val="1"/>
          <w:iCs w:val="1"/>
        </w:rPr>
        <w:t xml:space="preserve">Δεν έχουν υποβληθεί δημοσιευμένα σχόλια επί του άρθρου.</w:t>
      </w:r>
    </w:p>
    <w:p/>
    <w:p/>
    <w:bookmarkStart w:id="16" w:name="og_article_17"/>
    <w:bookmarkEnd w:id="16"/>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17 – Ασφάλιση και παροχή ιατροφαρμακευτικής περίθαλψης σε στελέχη του Λιμενικού Σώματος - Ελληνικής Ακτοφυλακής που υπηρετούν σε έδρες Ναυτιλιακών Ακολούθων εκτός Ευρωπαϊκής Ένωσης - Τροποποίηση περ. β) παρ. 2 άρθρου 324 ν. 4781/2021</w:t>
      </w:r>
    </w:p>
    <w:p>
      <w:pPr>
        <w:jc w:val="both"/>
      </w:pPr>
      <w:r>
        <w:rPr>
          <w:sz w:val="22"/>
          <w:szCs w:val="22"/>
        </w:rPr>
        <w:t xml:space="preserve">Στην περ. β) της παρ. 2 του άρθρου 324 του ν. 4781/2021(Α΄31), περί ιατροφαρμακευτικής και νοσοκομειακής περίθαλψης, επέρχονται οι ακόλουθες τροποποιήσεις: α) στο πρώτο εδάφιο, μετά τις λέξεις «Ευρωπαϊκής Ένωσης,» προστίθενται οι λέξεις «τα στελέχη του Λιμενικού Σώματος – Ελληνικής Ακτοφυλακής (Λ.Σ.-ΕΛ.ΑΚΤ.) που υπηρετούν σε έδρες Ναυτιλιακών Ακολούθων σε χώρες εκτός Ευρωπαϊκής Ένωσης,», β) στο τέλος του δεύτερου εδαφίου, προστίθενται οι λέξεις «, ενώ για τα στελέχη Λ.Σ.-ΕΛ.ΑΚΤ. το σύνολο της δαπάνης καλύπτεται με μεταφορά πιστώσεων από τον προϋπολογισμό του Υπουργείου Ναυτιλίας και Νησιωτικής Πολιτικής στον προϋπολογισμό του Υπουργείου Εξωτερικών» και η περ. β) της παρ. 2 του άρθρου 324 διαμορφώνεται ως εξής:</w:t>
      </w:r>
    </w:p>
    <w:p>
      <w:pPr>
        <w:jc w:val="both"/>
      </w:pPr>
      <w:r>
        <w:rPr>
          <w:sz w:val="22"/>
          <w:szCs w:val="22"/>
        </w:rPr>
        <w:t xml:space="preserve">«β) Οι υπάλληλοι του Υπουργείου Εξωτερικών οι οποίοι υπηρετούν στις Αρχές της Εξωτερικής Υπηρεσίας σε χώρες εκτός Ευρωπαϊκής Ένωσης, τα στελέχη του Λιμενικού Σώματος – Ελληνικής Ακτοφυλακής (Λ.Σ.- ΕΛ.ΑΚΤ.) που υπηρετούν σε έδρες Ναυτιλιακών Ακολούθων σε χώρες εκτός Ευρωπαϊκής Ένωσης, καθώς και τα εξαρτώμενα συνοικούντα μέλη της οικογένειάς τους, είναι δυνατόν να ασφαλίζονται για την ιατροφαρμακευτική τους περίθαλψη σε ιδιώτη πάροχο, εφόσον στη χώρα διαπίστευσής τους είτε υφίσταται αμιγώς ιδιωτικό σύστημα παροχής ιατροφαρμακευτικής περίθαλψης είτε το τυχόν υφιστάμενο σε αυτές τις χώρες δημόσιο σύστημα υγείας δεν είναι αξιόπιστο ή προσβάσιμο στους προαναφερόμενους υπαλλήλους. Το σύνολο της ασφαλιστικής δαπάνης βαρύνει τον προϋπολογισμό του Υπουργείου Εξωτερικών, ενώ για τα στελέχη Λ.Σ.- ΕΛ.ΑΚΤ. το σύνολο της δαπάνης καλύπτεται με μεταφορά πιστώσεων από τον προϋπολογισμό του Υπουργείου Ναυτιλίας και Νησιωτικής Πολιτικής στον προϋπολογισμό του Υπουργείου Εξωτερικών. Μέχρι την έκδοση της απόφασης που προβλέπεται στην παρ. 3 του άρθρου 326, οι δαπάνες για την ιατροφαρμακευτική περίθαλψη των υπαλλήλων που υπηρετούν στις Αρχές Εξωτερικής Υπηρεσίας καταβάλλονται σύμφωνα με τις επόμενες παραγράφους. Η παρούσα τίθεται σε ισχύ από 1.1.2022.».</w:t>
      </w:r>
    </w:p>
    <w:p/>
    <w:p>
      <w:pPr/>
      <w:r>
        <w:rPr>
          <w:sz w:val="22"/>
          <w:szCs w:val="22"/>
          <w:b w:val="1"/>
          <w:bCs w:val="1"/>
        </w:rPr>
        <w:t xml:space="preserve">Σχόλια επί του άρθρου 17</w:t>
      </w:r>
    </w:p>
    <w:p>
      <w:pPr/>
      <w:r>
        <w:rPr>
          <w:i w:val="1"/>
          <w:iCs w:val="1"/>
        </w:rPr>
        <w:t xml:space="preserve">Δεν έχουν υποβληθεί δημοσιευμένα σχόλια επί του άρθρου.</w:t>
      </w:r>
    </w:p>
    <w:p/>
    <w:p/>
    <w:bookmarkStart w:id="17" w:name="og_article_18"/>
    <w:bookmarkEnd w:id="17"/>
    <w:p>
      <w:pPr>
        <w:jc w:val="both"/>
        <w:spacing w:before="120" w:after="60"/>
        <w:pBdr>
          <w:top w:val="single" w:sz="24" w:color="0070C0"/>
          <w:left w:val="single" w:sz="24" w:color="0070C0"/>
          <w:right w:val="single" w:sz="24" w:color="0070C0"/>
          <w:bottom w:val="single" w:sz="24" w:color="0070C0"/>
        </w:pBdr>
      </w:pPr>
      <w:r>
        <w:rPr>
          <w:sz w:val="22"/>
          <w:szCs w:val="22"/>
          <w:b w:val="1"/>
          <w:bCs w:val="1"/>
        </w:rPr>
        <w:t xml:space="preserve">Άρθρο 18 – Έναρξη ισχύος</w:t>
      </w:r>
    </w:p>
    <w:p>
      <w:pPr>
        <w:jc w:val="both"/>
      </w:pPr>
      <w:r>
        <w:rPr>
          <w:sz w:val="22"/>
          <w:szCs w:val="22"/>
        </w:rPr>
        <w:t xml:space="preserve">Η ισχύς του παρόντος αρχίζει από τη δημοσίευσή του στην Εφημερίδα της Κυβερνήσεως.</w:t>
      </w:r>
    </w:p>
    <w:p/>
    <w:p>
      <w:pPr/>
      <w:r>
        <w:rPr>
          <w:sz w:val="22"/>
          <w:szCs w:val="22"/>
          <w:b w:val="1"/>
          <w:bCs w:val="1"/>
        </w:rPr>
        <w:t xml:space="preserve">Σχόλια επί του άρθρου 18</w:t>
      </w:r>
    </w:p>
    <w:p>
      <w:pPr/>
      <w:r>
        <w:rPr>
          <w:i w:val="1"/>
          <w:iCs w:val="1"/>
        </w:rPr>
        <w:t xml:space="preserve">Δεν έχουν υποβληθεί δημοσιευμένα σχόλια επί του άρθρου.</w:t>
      </w:r>
    </w:p>
    <w:p/>
    <w:p/>
    <w:sectPr>
      <w:headerReference w:type="default" r:id="rId26"/>
      <w:footerReference w:type="default" r:id="rId2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777777"/>
        <w:sz w:val="16"/>
        <w:szCs w:val="16"/>
      </w:rPr>
      <w:t xml:space="preserve">opengov.gr — Σελίδα </w:t>
    </w:r>
    <w:r>
      <w:fldChar w:fldCharType="begin"/>
    </w:r>
    <w:r>
      <w:rPr>
        <w:color w:val="777777"/>
        <w:sz w:val="16"/>
        <w:szCs w:val="16"/>
      </w:rPr>
      <w:instrText xml:space="preserve">PAGE</w:instrText>
    </w:r>
    <w:r>
      <w:fldChar w:fldCharType="separate"/>
    </w:r>
    <w:r>
      <w:fldChar w:fldCharType="end"/>
    </w:r>
    <w:r>
      <w:rPr>
        <w:color w:val="777777"/>
        <w:sz w:val="16"/>
        <w:szCs w:val="16"/>
      </w:rPr>
      <w:t xml:space="preserve"> από </w:t>
    </w:r>
    <w:r>
      <w:fldChar w:fldCharType="begin"/>
    </w:r>
    <w:r>
      <w:rPr>
        <w:color w:val="777777"/>
        <w:sz w:val="16"/>
        <w:szCs w:val="16"/>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pict>
        <v:shape type="#_x0000_t75" stroked="f" style="width:400pt; height:400pt; margin-left:0pt; margin-top:0pt; position:absolute; mso-position-horizontal:center; mso-position-vertical:center; mso-position-horizontal-relative:page; mso-position-vertical-relative:page; z-index:-2147483647;">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pengov.gr/ynanp/deliberations/enischysi-leitoyrgias-organismon-limenon-kai-loipes-diataxeis/" TargetMode="External"/><Relationship Id="rId26" Type="http://schemas.openxmlformats.org/officeDocument/2006/relationships/header" Target="header1.xm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2026-09-12T04:43:22+00:00</dcterms:created>
  <dcterms:modified xsi:type="dcterms:W3CDTF">2026-09-12T04:43:22+00:00</dcterms:modified>
</cp:coreProperties>
</file>

<file path=docProps/custom.xml><?xml version="1.0" encoding="utf-8"?>
<Properties xmlns="http://schemas.openxmlformats.org/officeDocument/2006/custom-properties" xmlns:vt="http://schemas.openxmlformats.org/officeDocument/2006/docPropsVTypes"/>
</file>